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38" w:rsidRPr="003E5EB7" w:rsidRDefault="003E5EB7" w:rsidP="00D20D38">
      <w:pPr>
        <w:ind w:left="3600" w:hanging="3600"/>
        <w:rPr>
          <w:b/>
          <w:sz w:val="28"/>
          <w:lang w:val="pl-PL"/>
        </w:rPr>
      </w:pPr>
      <w:bookmarkStart w:id="0" w:name="_GoBack"/>
      <w:bookmarkEnd w:id="0"/>
      <w:r>
        <w:rPr>
          <w:b/>
          <w:sz w:val="28"/>
          <w:lang w:val="pl-PL"/>
        </w:rPr>
        <w:t>CZESŁAW SIEKIERSKI</w:t>
      </w:r>
    </w:p>
    <w:p w:rsidR="00D20D38" w:rsidRDefault="00D20D38" w:rsidP="00D20D38">
      <w:pPr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Przewodniczący Komisji Rolnictwa i Rozwoju Wsi PE </w:t>
      </w:r>
    </w:p>
    <w:p w:rsidR="00D20D38" w:rsidRDefault="00D20D38" w:rsidP="00D20D38">
      <w:pPr>
        <w:rPr>
          <w:b/>
          <w:sz w:val="24"/>
          <w:lang w:val="pl-PL"/>
        </w:rPr>
      </w:pPr>
    </w:p>
    <w:p w:rsidR="003E5EB7" w:rsidRDefault="003E5EB7" w:rsidP="00D20D38">
      <w:pPr>
        <w:rPr>
          <w:b/>
          <w:sz w:val="24"/>
          <w:lang w:val="pl-PL"/>
        </w:rPr>
      </w:pPr>
    </w:p>
    <w:p w:rsidR="00F75CAE" w:rsidRDefault="00F75CAE" w:rsidP="00D20D38">
      <w:pPr>
        <w:rPr>
          <w:b/>
          <w:sz w:val="24"/>
          <w:lang w:val="pl-PL"/>
        </w:rPr>
      </w:pPr>
    </w:p>
    <w:p w:rsidR="00F75CAE" w:rsidRPr="00D20D38" w:rsidRDefault="00F75CAE" w:rsidP="00D20D38">
      <w:pPr>
        <w:rPr>
          <w:b/>
          <w:sz w:val="24"/>
          <w:lang w:val="pl-PL"/>
        </w:rPr>
      </w:pPr>
    </w:p>
    <w:p w:rsidR="00D146FC" w:rsidRPr="00D20D38" w:rsidRDefault="00D20D38" w:rsidP="0027515D">
      <w:pPr>
        <w:jc w:val="center"/>
        <w:rPr>
          <w:b/>
          <w:sz w:val="32"/>
          <w:lang w:val="pl-PL"/>
        </w:rPr>
      </w:pPr>
      <w:r>
        <w:rPr>
          <w:b/>
          <w:sz w:val="32"/>
          <w:lang w:val="pl-PL"/>
        </w:rPr>
        <w:t>Wspólna Polityka Rolna i polityka spójności w projekcie Wieloletnich Ram Finansowych</w:t>
      </w:r>
      <w:r w:rsidR="00D146FC" w:rsidRPr="00D20D38">
        <w:rPr>
          <w:b/>
          <w:sz w:val="32"/>
          <w:lang w:val="pl-PL"/>
        </w:rPr>
        <w:t xml:space="preserve"> UE 2021-2027</w:t>
      </w:r>
    </w:p>
    <w:p w:rsidR="00D146FC" w:rsidRDefault="00D146FC" w:rsidP="0027515D">
      <w:pPr>
        <w:jc w:val="both"/>
        <w:rPr>
          <w:sz w:val="24"/>
          <w:lang w:val="pl-PL"/>
        </w:rPr>
      </w:pPr>
    </w:p>
    <w:p w:rsidR="003E5EB7" w:rsidRDefault="003E5EB7" w:rsidP="0027515D">
      <w:pPr>
        <w:jc w:val="both"/>
        <w:rPr>
          <w:sz w:val="24"/>
          <w:lang w:val="pl-PL"/>
        </w:rPr>
      </w:pPr>
    </w:p>
    <w:p w:rsidR="00F75CAE" w:rsidRDefault="00F75CAE" w:rsidP="0027515D">
      <w:pPr>
        <w:jc w:val="both"/>
        <w:rPr>
          <w:sz w:val="24"/>
          <w:lang w:val="pl-PL"/>
        </w:rPr>
      </w:pPr>
    </w:p>
    <w:p w:rsidR="00D20D38" w:rsidRPr="00D20D38" w:rsidRDefault="00D20D38" w:rsidP="0027515D">
      <w:pPr>
        <w:jc w:val="both"/>
        <w:rPr>
          <w:b/>
          <w:sz w:val="24"/>
          <w:lang w:val="pl-PL"/>
        </w:rPr>
      </w:pPr>
      <w:r w:rsidRPr="00D20D38">
        <w:rPr>
          <w:b/>
          <w:sz w:val="24"/>
          <w:lang w:val="pl-PL"/>
        </w:rPr>
        <w:t>Wieloletnie Ramy Finansowe UE na okres 2021-2027</w:t>
      </w:r>
    </w:p>
    <w:p w:rsidR="00E525ED" w:rsidRPr="00D146FC" w:rsidRDefault="00E525ED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Wieloletnie Ramy Finansowe</w:t>
      </w:r>
      <w:r w:rsidR="00D146FC">
        <w:rPr>
          <w:sz w:val="24"/>
          <w:lang w:val="pl-PL"/>
        </w:rPr>
        <w:t xml:space="preserve"> UE</w:t>
      </w:r>
      <w:r w:rsidRPr="00D146FC">
        <w:rPr>
          <w:sz w:val="24"/>
          <w:lang w:val="pl-PL"/>
        </w:rPr>
        <w:t xml:space="preserve"> na okres 2021-2027 zostały ogłoszone </w:t>
      </w:r>
      <w:r w:rsidR="00D146FC">
        <w:rPr>
          <w:sz w:val="24"/>
          <w:lang w:val="pl-PL"/>
        </w:rPr>
        <w:t xml:space="preserve">przez Komisję Europejską </w:t>
      </w:r>
      <w:r w:rsidR="00871133">
        <w:rPr>
          <w:sz w:val="24"/>
          <w:lang w:val="pl-PL"/>
        </w:rPr>
        <w:t>2 maja b.r., natomiast projekty legislacji w obszarze polityki spójności przedstawiono 29 maja, a Wspólnej Polityki Rolnej (WPR)</w:t>
      </w:r>
      <w:r w:rsidRPr="00D146FC">
        <w:rPr>
          <w:sz w:val="24"/>
          <w:lang w:val="pl-PL"/>
        </w:rPr>
        <w:t xml:space="preserve"> 1 czerwca. </w:t>
      </w:r>
    </w:p>
    <w:p w:rsidR="00E525ED" w:rsidRPr="00D146FC" w:rsidRDefault="00871133" w:rsidP="0027515D">
      <w:pPr>
        <w:jc w:val="both"/>
        <w:rPr>
          <w:sz w:val="24"/>
          <w:lang w:val="pl-PL"/>
        </w:rPr>
      </w:pPr>
      <w:r>
        <w:rPr>
          <w:sz w:val="24"/>
          <w:lang w:val="pl-PL"/>
        </w:rPr>
        <w:t>Należy podkreślić, że o</w:t>
      </w:r>
      <w:r w:rsidR="00E525ED" w:rsidRPr="00D146FC">
        <w:rPr>
          <w:sz w:val="24"/>
          <w:lang w:val="pl-PL"/>
        </w:rPr>
        <w:t>becna perspektywa finansowana 2014-2020 powstawała w latach 2012-13, a więc jeszcze w okresie kryzysu</w:t>
      </w:r>
      <w:r>
        <w:rPr>
          <w:sz w:val="24"/>
          <w:lang w:val="pl-PL"/>
        </w:rPr>
        <w:t xml:space="preserve"> gospodarczego</w:t>
      </w:r>
      <w:r w:rsidR="00E525ED" w:rsidRPr="00D146FC">
        <w:rPr>
          <w:sz w:val="24"/>
          <w:lang w:val="pl-PL"/>
        </w:rPr>
        <w:t xml:space="preserve">, co wpłynęło na decyzję krajów członkowskich </w:t>
      </w:r>
      <w:r>
        <w:rPr>
          <w:sz w:val="24"/>
          <w:lang w:val="pl-PL"/>
        </w:rPr>
        <w:t>o</w:t>
      </w:r>
      <w:r w:rsidR="00E525ED" w:rsidRPr="00D146FC">
        <w:rPr>
          <w:sz w:val="24"/>
          <w:lang w:val="pl-PL"/>
        </w:rPr>
        <w:t xml:space="preserve"> zmniejszenie budżetu unijnego</w:t>
      </w:r>
      <w:r w:rsidR="000D1302">
        <w:rPr>
          <w:sz w:val="24"/>
          <w:lang w:val="pl-PL"/>
        </w:rPr>
        <w:t xml:space="preserve"> (2014-2020)</w:t>
      </w:r>
      <w:r w:rsidR="00E525ED" w:rsidRPr="00D146FC">
        <w:rPr>
          <w:sz w:val="24"/>
          <w:lang w:val="pl-PL"/>
        </w:rPr>
        <w:t xml:space="preserve"> ze względu na potrzeby krajowe. </w:t>
      </w:r>
      <w:r>
        <w:rPr>
          <w:sz w:val="24"/>
          <w:lang w:val="pl-PL"/>
        </w:rPr>
        <w:t>Z kolei propozycja</w:t>
      </w:r>
      <w:r w:rsidR="00E525ED" w:rsidRPr="00D146FC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budżetu na lata 2021-27 zbiegła </w:t>
      </w:r>
      <w:r w:rsidR="00E525ED" w:rsidRPr="00D146FC">
        <w:rPr>
          <w:sz w:val="24"/>
          <w:lang w:val="pl-PL"/>
        </w:rPr>
        <w:t xml:space="preserve">się w czasie z brexitem, z </w:t>
      </w:r>
      <w:r>
        <w:rPr>
          <w:sz w:val="24"/>
          <w:lang w:val="pl-PL"/>
        </w:rPr>
        <w:t>którego</w:t>
      </w:r>
      <w:r w:rsidR="00E525ED" w:rsidRPr="00D146FC">
        <w:rPr>
          <w:sz w:val="24"/>
          <w:lang w:val="pl-PL"/>
        </w:rPr>
        <w:t xml:space="preserve"> wynika luka r</w:t>
      </w:r>
      <w:r>
        <w:rPr>
          <w:sz w:val="24"/>
          <w:lang w:val="pl-PL"/>
        </w:rPr>
        <w:t>zędu 12 mld euro netto rocznie, a d</w:t>
      </w:r>
      <w:r w:rsidR="00E525ED" w:rsidRPr="00D146FC">
        <w:rPr>
          <w:sz w:val="24"/>
          <w:lang w:val="pl-PL"/>
        </w:rPr>
        <w:t>ynamiczna bieżąca sytuacja międzynarodowa stworzyła koni</w:t>
      </w:r>
      <w:r>
        <w:rPr>
          <w:sz w:val="24"/>
          <w:lang w:val="pl-PL"/>
        </w:rPr>
        <w:t>e</w:t>
      </w:r>
      <w:r w:rsidR="00E525ED" w:rsidRPr="00D146FC">
        <w:rPr>
          <w:sz w:val="24"/>
          <w:lang w:val="pl-PL"/>
        </w:rPr>
        <w:t>czność finansowania nowych wyzwań, które trudno kontestować. Są to m.in</w:t>
      </w:r>
      <w:r>
        <w:rPr>
          <w:sz w:val="24"/>
          <w:lang w:val="pl-PL"/>
        </w:rPr>
        <w:t xml:space="preserve">.: migracje i zarządzanie granicami, obronność, adaptacja do zmian klimaty czy walka z bezrobociem wśród młodzieży.  </w:t>
      </w:r>
    </w:p>
    <w:p w:rsidR="00E525ED" w:rsidRPr="00D146FC" w:rsidRDefault="00E525ED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W takiej sytuacji powstają duże braki związane z potrzebą pokrycia </w:t>
      </w:r>
      <w:r w:rsidR="00871133">
        <w:rPr>
          <w:sz w:val="24"/>
          <w:lang w:val="pl-PL"/>
        </w:rPr>
        <w:t xml:space="preserve">wspomnianej </w:t>
      </w:r>
      <w:r w:rsidRPr="00D146FC">
        <w:rPr>
          <w:sz w:val="24"/>
          <w:lang w:val="pl-PL"/>
        </w:rPr>
        <w:t>luki budżetowej oraz znalezieniem środków na finansowanie nowych wydatków. Można było to zreal</w:t>
      </w:r>
      <w:r w:rsidR="00871133">
        <w:rPr>
          <w:sz w:val="24"/>
          <w:lang w:val="pl-PL"/>
        </w:rPr>
        <w:t>izować przez zwiększenie składek</w:t>
      </w:r>
      <w:r w:rsidRPr="00D146FC">
        <w:rPr>
          <w:sz w:val="24"/>
          <w:lang w:val="pl-PL"/>
        </w:rPr>
        <w:t>, obniżenie wydatków budżetowych czy znalezienie nowych źródeł finansowania, w tym</w:t>
      </w:r>
      <w:r w:rsidR="00871133">
        <w:rPr>
          <w:sz w:val="24"/>
          <w:lang w:val="pl-PL"/>
        </w:rPr>
        <w:t xml:space="preserve"> przez</w:t>
      </w:r>
      <w:r w:rsidRPr="00D146FC">
        <w:rPr>
          <w:sz w:val="24"/>
          <w:lang w:val="pl-PL"/>
        </w:rPr>
        <w:t xml:space="preserve"> tzw. źródła własne. </w:t>
      </w:r>
    </w:p>
    <w:p w:rsidR="00547158" w:rsidRPr="00547158" w:rsidRDefault="00E525ED" w:rsidP="00547158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Parlament Europejski wyprzedzając całą dyskusję i propozycję Komisji </w:t>
      </w:r>
      <w:r w:rsidR="00871133">
        <w:rPr>
          <w:sz w:val="24"/>
          <w:lang w:val="pl-PL"/>
        </w:rPr>
        <w:t>postuluje</w:t>
      </w:r>
      <w:r w:rsidRPr="00D146FC">
        <w:rPr>
          <w:sz w:val="24"/>
          <w:lang w:val="pl-PL"/>
        </w:rPr>
        <w:t xml:space="preserve"> w swojej rezolucji zwiększenie </w:t>
      </w:r>
      <w:r w:rsidR="00871133">
        <w:rPr>
          <w:sz w:val="24"/>
          <w:lang w:val="pl-PL"/>
        </w:rPr>
        <w:t>kolejnego budżetu UE</w:t>
      </w:r>
      <w:r w:rsidRPr="00D146FC">
        <w:rPr>
          <w:sz w:val="24"/>
          <w:lang w:val="pl-PL"/>
        </w:rPr>
        <w:t xml:space="preserve"> do poziomu 1,3% DNB, co w</w:t>
      </w:r>
      <w:r w:rsidR="00A46CB9" w:rsidRPr="00D146FC">
        <w:rPr>
          <w:sz w:val="24"/>
          <w:lang w:val="pl-PL"/>
        </w:rPr>
        <w:t xml:space="preserve"> </w:t>
      </w:r>
      <w:r w:rsidRPr="00D146FC">
        <w:rPr>
          <w:sz w:val="24"/>
          <w:lang w:val="pl-PL"/>
        </w:rPr>
        <w:t>pełni zaspokoiłoby istniejące potrzeby. Tymczasem Komisja zaproponowała w projekcie budżetu</w:t>
      </w:r>
      <w:r w:rsidR="00871133">
        <w:rPr>
          <w:sz w:val="24"/>
          <w:lang w:val="pl-PL"/>
        </w:rPr>
        <w:t xml:space="preserve"> z 2 maja</w:t>
      </w:r>
      <w:r w:rsidRPr="00D146FC">
        <w:rPr>
          <w:sz w:val="24"/>
          <w:lang w:val="pl-PL"/>
        </w:rPr>
        <w:t xml:space="preserve"> </w:t>
      </w:r>
      <w:r w:rsidR="00871133">
        <w:rPr>
          <w:sz w:val="24"/>
          <w:lang w:val="pl-PL"/>
        </w:rPr>
        <w:t xml:space="preserve">jego </w:t>
      </w:r>
      <w:r w:rsidRPr="00D146FC">
        <w:rPr>
          <w:sz w:val="24"/>
          <w:lang w:val="pl-PL"/>
        </w:rPr>
        <w:t>zwiększenie</w:t>
      </w:r>
      <w:r w:rsidR="00871133">
        <w:rPr>
          <w:sz w:val="24"/>
          <w:lang w:val="pl-PL"/>
        </w:rPr>
        <w:t xml:space="preserve"> w cenach bieżących</w:t>
      </w:r>
      <w:r w:rsidRPr="00D146FC">
        <w:rPr>
          <w:sz w:val="24"/>
          <w:lang w:val="pl-PL"/>
        </w:rPr>
        <w:t xml:space="preserve"> do poziomu 1,1</w:t>
      </w:r>
      <w:r w:rsidR="000D1302">
        <w:rPr>
          <w:sz w:val="24"/>
          <w:lang w:val="pl-PL"/>
        </w:rPr>
        <w:t>1</w:t>
      </w:r>
      <w:r w:rsidRPr="00D146FC">
        <w:rPr>
          <w:sz w:val="24"/>
          <w:lang w:val="pl-PL"/>
        </w:rPr>
        <w:t xml:space="preserve">4% DNB oraz cięcia w zakresie polityki spójności oraz Wspólnej Polityki Rolnej. </w:t>
      </w:r>
      <w:r w:rsidR="00547158" w:rsidRPr="00547158">
        <w:rPr>
          <w:sz w:val="24"/>
          <w:lang w:val="pl-PL"/>
        </w:rPr>
        <w:t xml:space="preserve">Wyliczenia w tym zakresie są bardzo złożone i często rozbieżne, ponieważ Komisja raz operuje cenami bieżącymi, a raz cenami stałymi, poza tym nie zawsze „odlicza” w swoich kalkulacjach Wielką Brytanię.  </w:t>
      </w:r>
    </w:p>
    <w:p w:rsidR="00A46CB9" w:rsidRDefault="00A46CB9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lastRenderedPageBreak/>
        <w:t xml:space="preserve">Na to natychmiast </w:t>
      </w:r>
      <w:r w:rsidR="00871133">
        <w:rPr>
          <w:sz w:val="24"/>
          <w:lang w:val="pl-PL"/>
        </w:rPr>
        <w:t xml:space="preserve">krytycznie </w:t>
      </w:r>
      <w:r w:rsidRPr="00D146FC">
        <w:rPr>
          <w:sz w:val="24"/>
          <w:lang w:val="pl-PL"/>
        </w:rPr>
        <w:t>zareagowały państwa</w:t>
      </w:r>
      <w:r w:rsidR="00871133">
        <w:rPr>
          <w:sz w:val="24"/>
          <w:lang w:val="pl-PL"/>
        </w:rPr>
        <w:t xml:space="preserve"> płatnicy netto</w:t>
      </w:r>
      <w:r w:rsidRPr="00D146FC">
        <w:rPr>
          <w:sz w:val="24"/>
          <w:lang w:val="pl-PL"/>
        </w:rPr>
        <w:t xml:space="preserve">, które są przeciwne zwiększeniu budżetu: Szwecja, Holandia, Finlandia, Dania i Austria. Ważne, że pozytywnie odpowiedziały </w:t>
      </w:r>
      <w:r w:rsidR="000D1302">
        <w:rPr>
          <w:sz w:val="24"/>
          <w:lang w:val="pl-PL"/>
        </w:rPr>
        <w:t>Niemcy, Francja,</w:t>
      </w:r>
      <w:r w:rsidRPr="00D146FC">
        <w:rPr>
          <w:sz w:val="24"/>
          <w:lang w:val="pl-PL"/>
        </w:rPr>
        <w:t xml:space="preserve"> Polska.</w:t>
      </w:r>
    </w:p>
    <w:p w:rsidR="003E5EB7" w:rsidRPr="003E5EB7" w:rsidRDefault="003E5EB7" w:rsidP="0027515D">
      <w:pPr>
        <w:jc w:val="both"/>
        <w:rPr>
          <w:b/>
          <w:i/>
          <w:sz w:val="24"/>
          <w:lang w:val="pl-PL"/>
        </w:rPr>
      </w:pPr>
      <w:r w:rsidRPr="003E5EB7">
        <w:rPr>
          <w:b/>
          <w:i/>
          <w:sz w:val="24"/>
          <w:lang w:val="pl-PL"/>
        </w:rPr>
        <w:t>Budżet UE w kolejnych perspektywach finansowych w mld euro (ceny bieżące)</w:t>
      </w:r>
    </w:p>
    <w:p w:rsidR="00871133" w:rsidRDefault="003E5EB7" w:rsidP="0027515D">
      <w:pPr>
        <w:jc w:val="both"/>
        <w:rPr>
          <w:b/>
          <w:sz w:val="24"/>
          <w:lang w:val="pl-PL"/>
        </w:rPr>
      </w:pPr>
      <w:r w:rsidRPr="003E5EB7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 wp14:anchorId="2D4E91A4" wp14:editId="3A35FB06">
            <wp:extent cx="4584700" cy="2755900"/>
            <wp:effectExtent l="0" t="0" r="6350" b="635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EB7" w:rsidRPr="003E5EB7" w:rsidRDefault="003E5EB7" w:rsidP="003E5EB7">
      <w:pPr>
        <w:jc w:val="both"/>
        <w:rPr>
          <w:i/>
          <w:sz w:val="24"/>
          <w:lang w:val="pl-PL"/>
        </w:rPr>
      </w:pPr>
      <w:r w:rsidRPr="003E5EB7">
        <w:rPr>
          <w:i/>
          <w:sz w:val="24"/>
          <w:lang w:val="pl-PL"/>
        </w:rPr>
        <w:t>Źródło: KE</w:t>
      </w:r>
    </w:p>
    <w:p w:rsidR="003E5EB7" w:rsidRDefault="003E5EB7" w:rsidP="0027515D">
      <w:pPr>
        <w:jc w:val="both"/>
        <w:rPr>
          <w:b/>
          <w:sz w:val="24"/>
          <w:lang w:val="pl-PL"/>
        </w:rPr>
      </w:pPr>
    </w:p>
    <w:p w:rsidR="00871133" w:rsidRPr="00871133" w:rsidRDefault="00871133" w:rsidP="0027515D">
      <w:pPr>
        <w:jc w:val="both"/>
        <w:rPr>
          <w:b/>
          <w:sz w:val="24"/>
          <w:lang w:val="pl-PL"/>
        </w:rPr>
      </w:pPr>
      <w:r w:rsidRPr="00871133">
        <w:rPr>
          <w:b/>
          <w:sz w:val="24"/>
          <w:lang w:val="pl-PL"/>
        </w:rPr>
        <w:t xml:space="preserve">Polityka spójności </w:t>
      </w:r>
    </w:p>
    <w:p w:rsidR="00547158" w:rsidRDefault="00A46CB9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Komisja Europejska zaproponowała obniżenie budżetu polityki spójności o 7%</w:t>
      </w:r>
      <w:r w:rsidR="00871133">
        <w:rPr>
          <w:sz w:val="24"/>
          <w:lang w:val="pl-PL"/>
        </w:rPr>
        <w:t xml:space="preserve"> (w cenach bieżących)</w:t>
      </w:r>
      <w:r w:rsidRPr="00D146FC">
        <w:rPr>
          <w:sz w:val="24"/>
          <w:lang w:val="pl-PL"/>
        </w:rPr>
        <w:t xml:space="preserve">, przy czym </w:t>
      </w:r>
      <w:r w:rsidR="00871133">
        <w:rPr>
          <w:sz w:val="24"/>
          <w:lang w:val="pl-PL"/>
        </w:rPr>
        <w:t>największe</w:t>
      </w:r>
      <w:r w:rsidRPr="00D146FC">
        <w:rPr>
          <w:sz w:val="24"/>
          <w:lang w:val="pl-PL"/>
        </w:rPr>
        <w:t xml:space="preserve"> cięcia dotyczą Funduszu Spójności</w:t>
      </w:r>
      <w:r w:rsidR="00871133">
        <w:rPr>
          <w:rStyle w:val="Odwoanieprzypisudolnego"/>
          <w:sz w:val="24"/>
          <w:lang w:val="pl-PL"/>
        </w:rPr>
        <w:footnoteReference w:id="1"/>
      </w:r>
      <w:r w:rsidR="00871133">
        <w:rPr>
          <w:sz w:val="24"/>
          <w:lang w:val="pl-PL"/>
        </w:rPr>
        <w:t>, a mniejsze Europejskiego</w:t>
      </w:r>
      <w:r w:rsidRPr="00D146FC">
        <w:rPr>
          <w:sz w:val="24"/>
          <w:lang w:val="pl-PL"/>
        </w:rPr>
        <w:t xml:space="preserve"> Funduszu Rozwoju Regio</w:t>
      </w:r>
      <w:r w:rsidR="00871133">
        <w:rPr>
          <w:sz w:val="24"/>
          <w:lang w:val="pl-PL"/>
        </w:rPr>
        <w:t>nalnego oraz Funduszu Społecznego</w:t>
      </w:r>
      <w:r w:rsidRPr="00D146FC">
        <w:rPr>
          <w:sz w:val="24"/>
          <w:lang w:val="pl-PL"/>
        </w:rPr>
        <w:t xml:space="preserve">. </w:t>
      </w:r>
    </w:p>
    <w:p w:rsidR="00A63603" w:rsidRPr="00D146FC" w:rsidRDefault="007B2705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W nowej perspektywie w odniesieniu do podziału środków w polityce spójności przyjęto </w:t>
      </w:r>
      <w:r w:rsidR="00871133">
        <w:rPr>
          <w:sz w:val="24"/>
          <w:lang w:val="pl-PL"/>
        </w:rPr>
        <w:t>nowe wytyczne</w:t>
      </w:r>
      <w:r w:rsidRPr="00D146FC">
        <w:rPr>
          <w:sz w:val="24"/>
          <w:lang w:val="pl-PL"/>
        </w:rPr>
        <w:t xml:space="preserve">, aby </w:t>
      </w:r>
      <w:r w:rsidR="00871133">
        <w:rPr>
          <w:sz w:val="24"/>
          <w:lang w:val="pl-PL"/>
        </w:rPr>
        <w:t>w większym stopniu</w:t>
      </w:r>
      <w:r w:rsidRPr="00D146FC">
        <w:rPr>
          <w:sz w:val="24"/>
          <w:lang w:val="pl-PL"/>
        </w:rPr>
        <w:t xml:space="preserve"> wspierać </w:t>
      </w:r>
      <w:r w:rsidR="00871133">
        <w:rPr>
          <w:sz w:val="24"/>
          <w:lang w:val="pl-PL"/>
        </w:rPr>
        <w:t>te państwa</w:t>
      </w:r>
      <w:r w:rsidR="008D1E40">
        <w:rPr>
          <w:sz w:val="24"/>
          <w:lang w:val="pl-PL"/>
        </w:rPr>
        <w:t>, które są obecnie w gorszej kondycji gospodarczej</w:t>
      </w:r>
      <w:r w:rsidRPr="00D146FC">
        <w:rPr>
          <w:sz w:val="24"/>
          <w:lang w:val="pl-PL"/>
        </w:rPr>
        <w:t>. W tym zakresie zmieniono kryteria podziału środków. Dotychczas PKB per capita było dominującym wskaźnikiem</w:t>
      </w:r>
      <w:r w:rsidR="008D1E40">
        <w:rPr>
          <w:sz w:val="24"/>
          <w:lang w:val="pl-PL"/>
        </w:rPr>
        <w:t xml:space="preserve"> alokacji, a teraz będzie to 80%, podczas gdy</w:t>
      </w:r>
      <w:r w:rsidR="000D1302">
        <w:rPr>
          <w:sz w:val="24"/>
          <w:lang w:val="pl-PL"/>
        </w:rPr>
        <w:t xml:space="preserve"> kwestie bezrobocia czy</w:t>
      </w:r>
      <w:r w:rsidRPr="00D146FC">
        <w:rPr>
          <w:sz w:val="24"/>
          <w:lang w:val="pl-PL"/>
        </w:rPr>
        <w:t xml:space="preserve"> liczby uchodźców będą ważyły</w:t>
      </w:r>
      <w:r w:rsidR="008D1E40">
        <w:rPr>
          <w:sz w:val="24"/>
          <w:lang w:val="pl-PL"/>
        </w:rPr>
        <w:t xml:space="preserve"> pozostałe</w:t>
      </w:r>
      <w:r w:rsidRPr="00D146FC">
        <w:rPr>
          <w:sz w:val="24"/>
          <w:lang w:val="pl-PL"/>
        </w:rPr>
        <w:t xml:space="preserve"> 20%. Na mocy tych kryteriów środki przesunęły się na południe, ponieważ tam </w:t>
      </w:r>
      <w:r w:rsidR="008D1E40">
        <w:rPr>
          <w:sz w:val="24"/>
          <w:lang w:val="pl-PL"/>
        </w:rPr>
        <w:t>leżą</w:t>
      </w:r>
      <w:r w:rsidRPr="00D146FC">
        <w:rPr>
          <w:sz w:val="24"/>
          <w:lang w:val="pl-PL"/>
        </w:rPr>
        <w:t xml:space="preserve"> regiony w największym stopniu dotknięte kryzysem, gdzie występuje dużo </w:t>
      </w:r>
      <w:r w:rsidR="008D1E40" w:rsidRPr="00D146FC">
        <w:rPr>
          <w:sz w:val="24"/>
          <w:lang w:val="pl-PL"/>
        </w:rPr>
        <w:t>problem bezrobocia</w:t>
      </w:r>
      <w:r w:rsidRPr="00D146FC">
        <w:rPr>
          <w:sz w:val="24"/>
          <w:lang w:val="pl-PL"/>
        </w:rPr>
        <w:t xml:space="preserve"> wśród młodzie</w:t>
      </w:r>
      <w:r w:rsidR="008D1E40">
        <w:rPr>
          <w:sz w:val="24"/>
          <w:lang w:val="pl-PL"/>
        </w:rPr>
        <w:t>ży, a równocześnie najdotkliwiej odczuwalne są</w:t>
      </w:r>
      <w:r w:rsidRPr="00D146FC">
        <w:rPr>
          <w:sz w:val="24"/>
          <w:lang w:val="pl-PL"/>
        </w:rPr>
        <w:t xml:space="preserve"> skutki napływu uchodźców. </w:t>
      </w:r>
    </w:p>
    <w:p w:rsidR="007B2705" w:rsidRPr="00D146FC" w:rsidRDefault="007B2705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Dotychczas regiony poniżej 75% </w:t>
      </w:r>
      <w:r w:rsidR="008D1E40">
        <w:rPr>
          <w:sz w:val="24"/>
          <w:lang w:val="pl-PL"/>
        </w:rPr>
        <w:t xml:space="preserve">średniego unijnego </w:t>
      </w:r>
      <w:r w:rsidRPr="00D146FC">
        <w:rPr>
          <w:sz w:val="24"/>
          <w:lang w:val="pl-PL"/>
        </w:rPr>
        <w:t xml:space="preserve">PKB na mieszkańca były uważane za mniej rozwinięte, między 75 a 90% tzw. </w:t>
      </w:r>
      <w:r w:rsidR="008D1E40">
        <w:rPr>
          <w:sz w:val="24"/>
          <w:lang w:val="pl-PL"/>
        </w:rPr>
        <w:t xml:space="preserve">za </w:t>
      </w:r>
      <w:r w:rsidRPr="00D146FC">
        <w:rPr>
          <w:sz w:val="24"/>
          <w:lang w:val="pl-PL"/>
        </w:rPr>
        <w:t xml:space="preserve">przejściowe, a powyżej </w:t>
      </w:r>
      <w:r w:rsidR="008D1E40">
        <w:rPr>
          <w:sz w:val="24"/>
          <w:lang w:val="pl-PL"/>
        </w:rPr>
        <w:t xml:space="preserve">90% za </w:t>
      </w:r>
      <w:r w:rsidRPr="00D146FC">
        <w:rPr>
          <w:sz w:val="24"/>
          <w:lang w:val="pl-PL"/>
        </w:rPr>
        <w:t xml:space="preserve">rozwinięte. Teraz proponuje się poszerzenie zakresu </w:t>
      </w:r>
      <w:r w:rsidR="008D1E40">
        <w:rPr>
          <w:sz w:val="24"/>
          <w:lang w:val="pl-PL"/>
        </w:rPr>
        <w:t>regionów przejściowych na 75-</w:t>
      </w:r>
      <w:r w:rsidRPr="00D146FC">
        <w:rPr>
          <w:sz w:val="24"/>
          <w:lang w:val="pl-PL"/>
        </w:rPr>
        <w:t>100% PKB, co spr</w:t>
      </w:r>
      <w:r w:rsidR="008D1E40">
        <w:rPr>
          <w:sz w:val="24"/>
          <w:lang w:val="pl-PL"/>
        </w:rPr>
        <w:t>awi</w:t>
      </w:r>
      <w:r w:rsidRPr="00D146FC">
        <w:rPr>
          <w:sz w:val="24"/>
          <w:lang w:val="pl-PL"/>
        </w:rPr>
        <w:t>, że większa część Francji, północnej Holandii czy</w:t>
      </w:r>
      <w:r w:rsidR="008D1E40">
        <w:rPr>
          <w:sz w:val="24"/>
          <w:lang w:val="pl-PL"/>
        </w:rPr>
        <w:t xml:space="preserve"> regiony</w:t>
      </w:r>
      <w:r w:rsidRPr="00D146FC">
        <w:rPr>
          <w:sz w:val="24"/>
          <w:lang w:val="pl-PL"/>
        </w:rPr>
        <w:t xml:space="preserve"> </w:t>
      </w:r>
      <w:r w:rsidR="008D1E40">
        <w:rPr>
          <w:sz w:val="24"/>
          <w:lang w:val="pl-PL"/>
        </w:rPr>
        <w:t>Finlandii będą</w:t>
      </w:r>
      <w:r w:rsidRPr="00D146FC">
        <w:rPr>
          <w:sz w:val="24"/>
          <w:lang w:val="pl-PL"/>
        </w:rPr>
        <w:t xml:space="preserve"> mogą korzystać z polityki </w:t>
      </w:r>
      <w:r w:rsidRPr="00D146FC">
        <w:rPr>
          <w:sz w:val="24"/>
          <w:lang w:val="pl-PL"/>
        </w:rPr>
        <w:lastRenderedPageBreak/>
        <w:t>spójności. Oznacza to</w:t>
      </w:r>
      <w:r w:rsidR="008D1E40">
        <w:rPr>
          <w:sz w:val="24"/>
          <w:lang w:val="pl-PL"/>
        </w:rPr>
        <w:t xml:space="preserve"> więc</w:t>
      </w:r>
      <w:r w:rsidRPr="00D146FC">
        <w:rPr>
          <w:sz w:val="24"/>
          <w:lang w:val="pl-PL"/>
        </w:rPr>
        <w:t xml:space="preserve">, że więcej regionów będzie mogło korzystać z ograniczonych środków. </w:t>
      </w:r>
    </w:p>
    <w:p w:rsidR="008D1E40" w:rsidRDefault="007B2705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Polska </w:t>
      </w:r>
      <w:r w:rsidR="00842D35">
        <w:rPr>
          <w:sz w:val="24"/>
          <w:lang w:val="pl-PL"/>
        </w:rPr>
        <w:t xml:space="preserve">oraz niektóre kraje naszego regionu osiągnęły znaczny rozwój i są w lepszej kondycji gospodarczej, przez co według przyjętej metodologii otrzymamy mniej środków ale </w:t>
      </w:r>
      <w:r w:rsidRPr="00D146FC">
        <w:rPr>
          <w:sz w:val="24"/>
          <w:lang w:val="pl-PL"/>
        </w:rPr>
        <w:t xml:space="preserve">w ramach </w:t>
      </w:r>
      <w:r w:rsidR="008D1E40">
        <w:rPr>
          <w:sz w:val="24"/>
          <w:lang w:val="pl-PL"/>
        </w:rPr>
        <w:t xml:space="preserve">nowej </w:t>
      </w:r>
      <w:r w:rsidRPr="00D146FC">
        <w:rPr>
          <w:sz w:val="24"/>
          <w:lang w:val="pl-PL"/>
        </w:rPr>
        <w:t>polityki spójności będzie</w:t>
      </w:r>
      <w:r w:rsidR="00842D35">
        <w:rPr>
          <w:sz w:val="24"/>
          <w:lang w:val="pl-PL"/>
        </w:rPr>
        <w:t>my</w:t>
      </w:r>
      <w:r w:rsidRPr="00D146FC">
        <w:rPr>
          <w:sz w:val="24"/>
          <w:lang w:val="pl-PL"/>
        </w:rPr>
        <w:t xml:space="preserve"> nadal największym odbiorcą środków – otrzyma</w:t>
      </w:r>
      <w:r w:rsidR="00842D35">
        <w:rPr>
          <w:sz w:val="24"/>
          <w:lang w:val="pl-PL"/>
        </w:rPr>
        <w:t>my</w:t>
      </w:r>
      <w:r w:rsidRPr="00D146FC">
        <w:rPr>
          <w:sz w:val="24"/>
          <w:lang w:val="pl-PL"/>
        </w:rPr>
        <w:t xml:space="preserve"> </w:t>
      </w:r>
      <w:r w:rsidR="008D1E40">
        <w:rPr>
          <w:sz w:val="24"/>
          <w:lang w:val="pl-PL"/>
        </w:rPr>
        <w:t>64 mld euro.</w:t>
      </w:r>
      <w:r w:rsidRPr="00D146FC">
        <w:rPr>
          <w:sz w:val="24"/>
          <w:lang w:val="pl-PL"/>
        </w:rPr>
        <w:t xml:space="preserve"> Jest to argument często</w:t>
      </w:r>
      <w:r w:rsidR="008D1E40">
        <w:rPr>
          <w:sz w:val="24"/>
          <w:lang w:val="pl-PL"/>
        </w:rPr>
        <w:t xml:space="preserve"> używany przez rządzących, mimo, że będzie to </w:t>
      </w:r>
      <w:r w:rsidR="008D1E40" w:rsidRPr="008D1E40">
        <w:rPr>
          <w:sz w:val="24"/>
          <w:lang w:val="pl-PL"/>
        </w:rPr>
        <w:t>prawie 20 mld euro mniej niż w obecnym okresie (2014-2020).</w:t>
      </w:r>
    </w:p>
    <w:p w:rsidR="007B2705" w:rsidRPr="00D146FC" w:rsidRDefault="007B2705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Gdzie l</w:t>
      </w:r>
      <w:r w:rsidR="0027515D">
        <w:rPr>
          <w:sz w:val="24"/>
          <w:lang w:val="pl-PL"/>
        </w:rPr>
        <w:t xml:space="preserve">eżą przyczyny takiego podziału? </w:t>
      </w:r>
      <w:r w:rsidRPr="00D146FC">
        <w:rPr>
          <w:sz w:val="24"/>
          <w:lang w:val="pl-PL"/>
        </w:rPr>
        <w:t xml:space="preserve">Po pierwsze, </w:t>
      </w:r>
      <w:r w:rsidR="00842D35">
        <w:rPr>
          <w:sz w:val="24"/>
          <w:lang w:val="pl-PL"/>
        </w:rPr>
        <w:t xml:space="preserve">jak już wspomniałem </w:t>
      </w:r>
      <w:r w:rsidRPr="00D146FC">
        <w:rPr>
          <w:sz w:val="24"/>
          <w:lang w:val="pl-PL"/>
        </w:rPr>
        <w:t xml:space="preserve">Polska znacznie się rozwinęła ale nie należy tego traktować jako „kary za rozwój” </w:t>
      </w:r>
      <w:r w:rsidR="008D1E40">
        <w:rPr>
          <w:sz w:val="24"/>
          <w:lang w:val="pl-PL"/>
        </w:rPr>
        <w:t>– po prostu tak m</w:t>
      </w:r>
      <w:r w:rsidRPr="00D146FC">
        <w:rPr>
          <w:sz w:val="24"/>
          <w:lang w:val="pl-PL"/>
        </w:rPr>
        <w:t xml:space="preserve">ówią kryteria podziału środków. Jeśli będziemy się rozwijać w dobrym tempie w przyszłości, to te środki będą </w:t>
      </w:r>
      <w:r w:rsidR="008D1E40">
        <w:rPr>
          <w:sz w:val="24"/>
          <w:lang w:val="pl-PL"/>
        </w:rPr>
        <w:t xml:space="preserve">zapewne </w:t>
      </w:r>
      <w:r w:rsidRPr="00D146FC">
        <w:rPr>
          <w:sz w:val="24"/>
          <w:lang w:val="pl-PL"/>
        </w:rPr>
        <w:t xml:space="preserve">jeszcze mniejsze i przyjdzie taki moment, że tylko najbiedniejsze regiony Polski będą mogły </w:t>
      </w:r>
      <w:r w:rsidR="008D1E40">
        <w:rPr>
          <w:sz w:val="24"/>
          <w:lang w:val="pl-PL"/>
        </w:rPr>
        <w:t>z nich korzystać</w:t>
      </w:r>
      <w:r w:rsidRPr="00D146FC">
        <w:rPr>
          <w:sz w:val="24"/>
          <w:lang w:val="pl-PL"/>
        </w:rPr>
        <w:t xml:space="preserve">. Trudno to ocenić ale zapewne sytuacja w Polsce, brak przestrzegania praworządności, to co </w:t>
      </w:r>
      <w:r w:rsidR="008D1E40">
        <w:rPr>
          <w:sz w:val="24"/>
          <w:lang w:val="pl-PL"/>
        </w:rPr>
        <w:t xml:space="preserve">miało miejsce z </w:t>
      </w:r>
      <w:r w:rsidRPr="00D146FC">
        <w:rPr>
          <w:sz w:val="24"/>
          <w:lang w:val="pl-PL"/>
        </w:rPr>
        <w:t xml:space="preserve">Trybunałem Konstytucyjnym, Sądem Najwyższym, Krajową Radą Sądownictwa wpłynęły na zmianę postrzegania Polski, a szczególnie naszego rządu jako </w:t>
      </w:r>
      <w:r w:rsidR="008D1E40" w:rsidRPr="00D146FC">
        <w:rPr>
          <w:sz w:val="24"/>
          <w:lang w:val="pl-PL"/>
        </w:rPr>
        <w:t>nieprzestrzegającego</w:t>
      </w:r>
      <w:r w:rsidRPr="00D146FC">
        <w:rPr>
          <w:sz w:val="24"/>
          <w:lang w:val="pl-PL"/>
        </w:rPr>
        <w:t xml:space="preserve"> zasad państwa </w:t>
      </w:r>
      <w:r w:rsidR="00E525ED" w:rsidRPr="00D146FC">
        <w:rPr>
          <w:sz w:val="24"/>
          <w:lang w:val="pl-PL"/>
        </w:rPr>
        <w:t>prawa. Oczywiście</w:t>
      </w:r>
      <w:r w:rsidRPr="00D146FC">
        <w:rPr>
          <w:sz w:val="24"/>
          <w:lang w:val="pl-PL"/>
        </w:rPr>
        <w:t xml:space="preserve"> nikt na </w:t>
      </w:r>
      <w:r w:rsidR="00842D35">
        <w:rPr>
          <w:sz w:val="24"/>
          <w:lang w:val="pl-PL"/>
        </w:rPr>
        <w:t>obecnym etapie nie powie, że to zaważyło</w:t>
      </w:r>
      <w:r w:rsidRPr="00D146FC">
        <w:rPr>
          <w:sz w:val="24"/>
          <w:lang w:val="pl-PL"/>
        </w:rPr>
        <w:t xml:space="preserve"> ale</w:t>
      </w:r>
      <w:r w:rsidR="008D1E40">
        <w:rPr>
          <w:sz w:val="24"/>
          <w:lang w:val="pl-PL"/>
        </w:rPr>
        <w:t xml:space="preserve"> na pewno nam to nie pomogło</w:t>
      </w:r>
      <w:r w:rsidRPr="00D146FC">
        <w:rPr>
          <w:sz w:val="24"/>
          <w:lang w:val="pl-PL"/>
        </w:rPr>
        <w:t>, co się</w:t>
      </w:r>
      <w:r w:rsidR="008D1E40">
        <w:rPr>
          <w:sz w:val="24"/>
          <w:lang w:val="pl-PL"/>
        </w:rPr>
        <w:t xml:space="preserve"> wyczuwa</w:t>
      </w:r>
      <w:r w:rsidRPr="00D146FC">
        <w:rPr>
          <w:sz w:val="24"/>
          <w:lang w:val="pl-PL"/>
        </w:rPr>
        <w:t xml:space="preserve">. </w:t>
      </w:r>
    </w:p>
    <w:p w:rsidR="00E525ED" w:rsidRPr="00D146FC" w:rsidRDefault="0027515D" w:rsidP="0027515D">
      <w:pPr>
        <w:jc w:val="both"/>
        <w:rPr>
          <w:sz w:val="24"/>
          <w:lang w:val="pl-PL"/>
        </w:rPr>
      </w:pPr>
      <w:r>
        <w:rPr>
          <w:sz w:val="24"/>
          <w:lang w:val="pl-PL"/>
        </w:rPr>
        <w:t>Bardzo ważną z punktu widzenia Polski nowością w polityce spójności jest jej powiązanie z przestrzeganiem przez dany kraj zasad praworządności określonych w Traktacie. Jest to w oczywisty sposób następstwo sytuacji w Polsce czy na Węgrzech. Co więcej, decyzja o ewentualnym naruszeniu, a następnie z</w:t>
      </w:r>
      <w:r w:rsidR="00A5718E">
        <w:rPr>
          <w:sz w:val="24"/>
          <w:lang w:val="pl-PL"/>
        </w:rPr>
        <w:t>awies</w:t>
      </w:r>
      <w:r>
        <w:rPr>
          <w:sz w:val="24"/>
          <w:lang w:val="pl-PL"/>
        </w:rPr>
        <w:t>zeniu środków byłaby podejmowana większością kwalifikowaną, a nie jednomyślnie</w:t>
      </w:r>
      <w:r w:rsidR="00842D35">
        <w:rPr>
          <w:sz w:val="24"/>
          <w:lang w:val="pl-PL"/>
        </w:rPr>
        <w:t xml:space="preserve"> jak to ma miejsce w przypadku procedury w ramach art. 7 Traktatu, która przewiduje jako sankcję pozbawienie danego kraju prawa głodu w Radzie UE</w:t>
      </w:r>
      <w:r>
        <w:rPr>
          <w:sz w:val="24"/>
          <w:lang w:val="pl-PL"/>
        </w:rPr>
        <w:t xml:space="preserve">.  </w:t>
      </w:r>
    </w:p>
    <w:p w:rsidR="00E525ED" w:rsidRPr="00D146FC" w:rsidRDefault="00E525ED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Pamiętajmy</w:t>
      </w:r>
      <w:r w:rsidR="0027515D">
        <w:rPr>
          <w:sz w:val="24"/>
          <w:lang w:val="pl-PL"/>
        </w:rPr>
        <w:t xml:space="preserve"> również</w:t>
      </w:r>
      <w:r w:rsidRPr="00D146FC">
        <w:rPr>
          <w:sz w:val="24"/>
          <w:lang w:val="pl-PL"/>
        </w:rPr>
        <w:t xml:space="preserve">, że część środków jest rozdzielanych </w:t>
      </w:r>
      <w:r w:rsidR="0027515D">
        <w:rPr>
          <w:sz w:val="24"/>
          <w:lang w:val="pl-PL"/>
        </w:rPr>
        <w:t>na poziomie europejskim</w:t>
      </w:r>
      <w:r w:rsidRPr="00D146FC">
        <w:rPr>
          <w:sz w:val="24"/>
          <w:lang w:val="pl-PL"/>
        </w:rPr>
        <w:t>, np. w zakresie digitalizacji, finansowania nauki w ramach konkursów projektów</w:t>
      </w:r>
      <w:r w:rsidR="0027515D">
        <w:rPr>
          <w:sz w:val="24"/>
          <w:lang w:val="pl-PL"/>
        </w:rPr>
        <w:t xml:space="preserve"> (wzrost budżetu o 50%)</w:t>
      </w:r>
      <w:r w:rsidRPr="00D146FC">
        <w:rPr>
          <w:sz w:val="24"/>
          <w:lang w:val="pl-PL"/>
        </w:rPr>
        <w:t>, kwestii obronności, programu Erasmus</w:t>
      </w:r>
      <w:r w:rsidR="0027515D">
        <w:rPr>
          <w:sz w:val="24"/>
          <w:lang w:val="pl-PL"/>
        </w:rPr>
        <w:t xml:space="preserve"> (dwukrotny wzrost środków)</w:t>
      </w:r>
      <w:r w:rsidRPr="00D146FC">
        <w:rPr>
          <w:sz w:val="24"/>
          <w:lang w:val="pl-PL"/>
        </w:rPr>
        <w:t>, a także funkcjonowania granic oraz budowania infrastruktury transgranicznej w ramach programu „Łącząc Europę”. Tutaj także s</w:t>
      </w:r>
      <w:r w:rsidR="0027515D">
        <w:rPr>
          <w:sz w:val="24"/>
          <w:lang w:val="pl-PL"/>
        </w:rPr>
        <w:t xml:space="preserve">ą do pozyskania pokaźne środki rozdzielane w oparciu o obiektywne kryteria, lecz zapewne inne czynniki też mają pewien wpływ na decyzje Komisji. </w:t>
      </w:r>
    </w:p>
    <w:p w:rsidR="00CE3822" w:rsidRDefault="00E525ED" w:rsidP="0027515D">
      <w:p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 xml:space="preserve">Czy można było uzyskać więcej na politykę spójności? Zapewne tak ale potrzeba było większej aktywności, kreatywności oraz większego </w:t>
      </w:r>
      <w:r w:rsidR="0027515D">
        <w:rPr>
          <w:sz w:val="24"/>
          <w:lang w:val="pl-PL"/>
        </w:rPr>
        <w:t>zaangażowania</w:t>
      </w:r>
      <w:r w:rsidRPr="00D146FC">
        <w:rPr>
          <w:sz w:val="24"/>
          <w:lang w:val="pl-PL"/>
        </w:rPr>
        <w:t xml:space="preserve"> rządu </w:t>
      </w:r>
      <w:r w:rsidR="0027515D">
        <w:rPr>
          <w:sz w:val="24"/>
          <w:lang w:val="pl-PL"/>
        </w:rPr>
        <w:t>w prace</w:t>
      </w:r>
      <w:r w:rsidRPr="00D146FC">
        <w:rPr>
          <w:sz w:val="24"/>
          <w:lang w:val="pl-PL"/>
        </w:rPr>
        <w:t xml:space="preserve"> na szczeblu europejskim. Tymczasem nasz rząd skupił się przede wszystkim na odpieraniu zarzutów o naruszanie praworządności</w:t>
      </w:r>
      <w:r w:rsidR="0027515D">
        <w:rPr>
          <w:sz w:val="24"/>
          <w:lang w:val="pl-PL"/>
        </w:rPr>
        <w:t xml:space="preserve"> i sporze z Komisją</w:t>
      </w:r>
      <w:r w:rsidRPr="00D146FC">
        <w:rPr>
          <w:sz w:val="24"/>
          <w:lang w:val="pl-PL"/>
        </w:rPr>
        <w:t>. Trzeba też jednak obiektywnie stwierdzić, że trudno było</w:t>
      </w:r>
      <w:r w:rsidR="0027515D">
        <w:rPr>
          <w:sz w:val="24"/>
          <w:lang w:val="pl-PL"/>
        </w:rPr>
        <w:t>by</w:t>
      </w:r>
      <w:r w:rsidRPr="00D146FC">
        <w:rPr>
          <w:sz w:val="24"/>
          <w:lang w:val="pl-PL"/>
        </w:rPr>
        <w:t xml:space="preserve"> sobie wyobrazić, abyśmy utrzymali dotychczasowy prz</w:t>
      </w:r>
      <w:r w:rsidR="0027515D">
        <w:rPr>
          <w:sz w:val="24"/>
          <w:lang w:val="pl-PL"/>
        </w:rPr>
        <w:t>ydział na politykę spójności, biorąc pod uwagę wspomnianą lukę brexitową</w:t>
      </w:r>
      <w:r w:rsidRPr="00D146FC">
        <w:rPr>
          <w:sz w:val="24"/>
          <w:lang w:val="pl-PL"/>
        </w:rPr>
        <w:t xml:space="preserve"> (ubytek 12 mld e</w:t>
      </w:r>
      <w:r w:rsidR="0027515D">
        <w:rPr>
          <w:sz w:val="24"/>
          <w:lang w:val="pl-PL"/>
        </w:rPr>
        <w:t>uro netto rocznie) oraz konieczność</w:t>
      </w:r>
      <w:r w:rsidRPr="00D146FC">
        <w:rPr>
          <w:sz w:val="24"/>
          <w:lang w:val="pl-PL"/>
        </w:rPr>
        <w:t xml:space="preserve"> finansowania nowych wyzwań (ok. </w:t>
      </w:r>
      <w:r w:rsidR="00842D35">
        <w:rPr>
          <w:sz w:val="24"/>
          <w:lang w:val="pl-PL"/>
        </w:rPr>
        <w:t>11-</w:t>
      </w:r>
      <w:r w:rsidRPr="00D146FC">
        <w:rPr>
          <w:sz w:val="24"/>
          <w:lang w:val="pl-PL"/>
        </w:rPr>
        <w:t xml:space="preserve">12 mld euro </w:t>
      </w:r>
      <w:r w:rsidR="0027515D" w:rsidRPr="00D146FC">
        <w:rPr>
          <w:sz w:val="24"/>
          <w:lang w:val="pl-PL"/>
        </w:rPr>
        <w:t>rocznie</w:t>
      </w:r>
      <w:r w:rsidRPr="00D146FC">
        <w:rPr>
          <w:sz w:val="24"/>
          <w:lang w:val="pl-PL"/>
        </w:rPr>
        <w:t xml:space="preserve">). </w:t>
      </w:r>
    </w:p>
    <w:p w:rsidR="00A5597A" w:rsidRDefault="00A5597A" w:rsidP="0027515D">
      <w:pPr>
        <w:jc w:val="both"/>
        <w:rPr>
          <w:sz w:val="24"/>
          <w:lang w:val="pl-PL"/>
        </w:rPr>
      </w:pPr>
    </w:p>
    <w:p w:rsidR="00A5597A" w:rsidRDefault="00A5597A" w:rsidP="0027515D">
      <w:pPr>
        <w:jc w:val="both"/>
        <w:rPr>
          <w:sz w:val="24"/>
          <w:lang w:val="pl-PL"/>
        </w:rPr>
      </w:pPr>
    </w:p>
    <w:p w:rsidR="00A5597A" w:rsidRDefault="00A5597A" w:rsidP="0027515D">
      <w:pPr>
        <w:jc w:val="both"/>
        <w:rPr>
          <w:sz w:val="24"/>
          <w:lang w:val="pl-PL"/>
        </w:rPr>
      </w:pPr>
    </w:p>
    <w:p w:rsidR="00A5597A" w:rsidRPr="006A15D9" w:rsidRDefault="00A5597A" w:rsidP="0027515D">
      <w:pPr>
        <w:jc w:val="both"/>
        <w:rPr>
          <w:b/>
          <w:i/>
          <w:sz w:val="24"/>
          <w:lang w:val="pl-PL"/>
        </w:rPr>
      </w:pPr>
      <w:r w:rsidRPr="00A5597A">
        <w:rPr>
          <w:b/>
          <w:i/>
          <w:sz w:val="24"/>
          <w:lang w:val="pl-PL"/>
        </w:rPr>
        <w:lastRenderedPageBreak/>
        <w:t xml:space="preserve">Porównanie wysokości kopert finansowych na </w:t>
      </w:r>
      <w:r w:rsidR="006A15D9">
        <w:rPr>
          <w:b/>
          <w:i/>
          <w:sz w:val="24"/>
          <w:lang w:val="pl-PL"/>
        </w:rPr>
        <w:t xml:space="preserve">politykę spójności </w:t>
      </w:r>
      <w:r w:rsidRPr="00A5597A">
        <w:rPr>
          <w:b/>
          <w:i/>
          <w:sz w:val="24"/>
          <w:lang w:val="pl-PL"/>
        </w:rPr>
        <w:t>dla Polski w latach 2014-2020 oraz 2021-2027 (w mld euro, ceny bieżące)</w:t>
      </w:r>
    </w:p>
    <w:p w:rsidR="00842D35" w:rsidRDefault="00A5597A" w:rsidP="0027515D">
      <w:pPr>
        <w:jc w:val="both"/>
        <w:rPr>
          <w:b/>
          <w:sz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3C60F4D" wp14:editId="2045D2C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A15D9" w:rsidRPr="006A15D9" w:rsidRDefault="006A15D9" w:rsidP="0027515D">
      <w:pPr>
        <w:jc w:val="both"/>
        <w:rPr>
          <w:sz w:val="24"/>
          <w:lang w:val="pl-PL"/>
        </w:rPr>
      </w:pPr>
      <w:r>
        <w:rPr>
          <w:sz w:val="24"/>
          <w:lang w:val="pl-PL"/>
        </w:rPr>
        <w:t>Żródło: KE</w:t>
      </w:r>
    </w:p>
    <w:p w:rsidR="006A15D9" w:rsidRDefault="006A15D9" w:rsidP="0027515D">
      <w:pPr>
        <w:jc w:val="both"/>
        <w:rPr>
          <w:b/>
          <w:sz w:val="24"/>
          <w:lang w:val="pl-PL"/>
        </w:rPr>
      </w:pPr>
    </w:p>
    <w:p w:rsidR="00CE3822" w:rsidRPr="00CE3822" w:rsidRDefault="00CE3822" w:rsidP="0027515D">
      <w:pPr>
        <w:jc w:val="both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Wspólna Polityka Rolna </w:t>
      </w:r>
    </w:p>
    <w:p w:rsidR="006D6892" w:rsidRPr="006D6892" w:rsidRDefault="006D6892" w:rsidP="006D6892">
      <w:pPr>
        <w:autoSpaceDE w:val="0"/>
        <w:autoSpaceDN w:val="0"/>
        <w:adjustRightInd w:val="0"/>
        <w:spacing w:after="120"/>
        <w:jc w:val="both"/>
        <w:rPr>
          <w:rFonts w:cs="Verdana-Bold"/>
          <w:bCs/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W dniu 1 czerwca 2018 r. Komisja Europejska opublikowała </w:t>
      </w:r>
      <w:r w:rsidRPr="006D6892">
        <w:rPr>
          <w:rFonts w:cs="Verdana-Bold"/>
          <w:bCs/>
          <w:sz w:val="24"/>
          <w:szCs w:val="24"/>
          <w:lang w:val="pl-PL"/>
        </w:rPr>
        <w:t>wnioski w sprawie rozporządzeń modernizujących i upraszczających Wspólną Politykę Rolną. Przedstawione przez KE wnioski zapewniają, że WPR pozostanie przyszłościową polityką UE, a jej głównymi celami będzie wspieranie inteligentnego, zdywersyfikowanego sektora rolnego zapewniającego bezpieczeństwo żywnościowe, wsparcie na rzecz działań w zakresie ochrony środowiska i klimatu oraz wzmocnienie struktury społeczno-gospodarczej na obszarach wiejskich. Te główne cele WPR na lata 2021-2027 będą realizowane w ramach dziewięciu celów szczegółowych odzwierciedlających znaczenie gospodarcze, ekologiczne i społeczne polityki rolnej.</w:t>
      </w:r>
    </w:p>
    <w:p w:rsidR="006D6892" w:rsidRPr="00D95DF3" w:rsidRDefault="006D6892" w:rsidP="006D68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b/>
          <w:i/>
          <w:sz w:val="24"/>
          <w:szCs w:val="24"/>
        </w:rPr>
      </w:pPr>
      <w:r w:rsidRPr="00D95DF3">
        <w:rPr>
          <w:b/>
          <w:i/>
          <w:sz w:val="24"/>
          <w:szCs w:val="24"/>
        </w:rPr>
        <w:t>Cele gospodarcze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Wspieranie dochodów i gospodarstw rolnych.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Poprawa konkurencyjności (</w:t>
      </w:r>
      <w:r w:rsidRPr="005110FC">
        <w:rPr>
          <w:rFonts w:cs="Verdana"/>
          <w:sz w:val="24"/>
          <w:szCs w:val="24"/>
        </w:rPr>
        <w:t>w tym większe ukierunkowanie na badania naukowe, technologię i cyfryzację)</w:t>
      </w:r>
      <w:r w:rsidRPr="005110FC">
        <w:rPr>
          <w:sz w:val="24"/>
          <w:szCs w:val="24"/>
        </w:rPr>
        <w:t xml:space="preserve"> i orientacji rynkowej.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Poprawa pozycji rolników w łańcuchu żywnościowym</w:t>
      </w:r>
    </w:p>
    <w:p w:rsidR="006D6892" w:rsidRPr="00D95DF3" w:rsidRDefault="006D6892" w:rsidP="006D68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jc w:val="both"/>
        <w:rPr>
          <w:b/>
          <w:i/>
          <w:sz w:val="24"/>
          <w:szCs w:val="24"/>
        </w:rPr>
      </w:pPr>
      <w:r w:rsidRPr="00D95DF3">
        <w:rPr>
          <w:b/>
          <w:i/>
          <w:sz w:val="24"/>
          <w:szCs w:val="24"/>
        </w:rPr>
        <w:t>Cele ekologiczne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Przeciwdziałanie zmianom klimatycznym.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Wspieranie zrównoważonego rozwoju.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Ochrona różnorodności biologicznej i krajobrazu.</w:t>
      </w:r>
    </w:p>
    <w:p w:rsidR="006D6892" w:rsidRPr="00D95DF3" w:rsidRDefault="006D6892" w:rsidP="006D68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40" w:lineRule="auto"/>
        <w:ind w:left="714" w:hanging="357"/>
        <w:contextualSpacing w:val="0"/>
        <w:jc w:val="both"/>
        <w:rPr>
          <w:b/>
          <w:i/>
          <w:sz w:val="24"/>
          <w:szCs w:val="24"/>
        </w:rPr>
      </w:pPr>
      <w:r w:rsidRPr="00D95DF3">
        <w:rPr>
          <w:b/>
          <w:i/>
          <w:sz w:val="24"/>
          <w:szCs w:val="24"/>
        </w:rPr>
        <w:t>Cele społeczne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sz w:val="24"/>
          <w:szCs w:val="24"/>
        </w:rPr>
        <w:t>Zachęty dla młodych rolników i rozwoju działalności na obszarach wiejskich.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rFonts w:cs="Verdana"/>
          <w:sz w:val="24"/>
          <w:szCs w:val="24"/>
        </w:rPr>
        <w:lastRenderedPageBreak/>
        <w:t>Promowanie zatrudnienia, wzrostu, włączenia społecznego i rozwoju lokalnego na obszarach wiejskich, w tym biogospodarki i zrównoważonego leśnictwa.</w:t>
      </w:r>
    </w:p>
    <w:p w:rsidR="006D6892" w:rsidRPr="005110FC" w:rsidRDefault="006D6892" w:rsidP="006D689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sz w:val="24"/>
          <w:szCs w:val="24"/>
        </w:rPr>
      </w:pPr>
      <w:r w:rsidRPr="005110FC">
        <w:rPr>
          <w:rFonts w:cs="Verdana"/>
          <w:sz w:val="24"/>
          <w:szCs w:val="24"/>
        </w:rPr>
        <w:t>Uwzględnienie oczekiwań społecznych w zakresie żywności i zdrowia.</w:t>
      </w:r>
    </w:p>
    <w:p w:rsidR="006D6892" w:rsidRPr="006D6892" w:rsidRDefault="006D6892" w:rsidP="006D6892">
      <w:pPr>
        <w:autoSpaceDE w:val="0"/>
        <w:autoSpaceDN w:val="0"/>
        <w:adjustRightInd w:val="0"/>
        <w:jc w:val="both"/>
        <w:rPr>
          <w:rFonts w:cs="Verdana"/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Zaprezentowane przez KE wnioski dają państwom członkowskim większą elastyczność, dzięki czemu </w:t>
      </w:r>
      <w:r w:rsidRPr="006D6892">
        <w:rPr>
          <w:rFonts w:cs="Verdana"/>
          <w:sz w:val="24"/>
          <w:szCs w:val="24"/>
          <w:lang w:val="pl-PL"/>
        </w:rPr>
        <w:t>będą one w stanie lepiej dopasować instrumenty i poziomy wsparcia do swych szczególnych potrzeb, co zostanie następnie określone w kompleksowych planach strategicznych WPR (dla I i II filaru).</w:t>
      </w:r>
    </w:p>
    <w:p w:rsidR="006D6892" w:rsidRPr="006D6892" w:rsidRDefault="006D6892" w:rsidP="006D6892">
      <w:pPr>
        <w:autoSpaceDE w:val="0"/>
        <w:autoSpaceDN w:val="0"/>
        <w:adjustRightInd w:val="0"/>
        <w:jc w:val="both"/>
        <w:rPr>
          <w:rFonts w:cs="Verdana"/>
          <w:sz w:val="24"/>
          <w:szCs w:val="24"/>
          <w:lang w:val="pl-PL"/>
        </w:rPr>
      </w:pPr>
      <w:r w:rsidRPr="006D6892">
        <w:rPr>
          <w:rFonts w:cs="Verdana"/>
          <w:sz w:val="24"/>
          <w:szCs w:val="24"/>
          <w:lang w:val="pl-PL"/>
        </w:rPr>
        <w:t>Plany te określać będą w jaki sposób każde państwo zamierza osiągnąć ogólne cele WPR, uwzględniając jednocześnie swoje specyficzne potrzeby. W planach zawarta będzie strategia oraz wyjaśnienie, w jaki sposób działania w ramach obu filarów przyczynią się do osiągnięcia wyznaczonych celów. W planach tych określane będą również cele końcowe, które należy osiągnąć, a postępy w realizacji celów końcowych będą oceniane na poziomie państwa członkowskiego i weryfikowane przez Komisję Europejską.</w:t>
      </w:r>
    </w:p>
    <w:p w:rsidR="006D6892" w:rsidRPr="006D6892" w:rsidRDefault="006D6892" w:rsidP="006D6892">
      <w:pPr>
        <w:jc w:val="both"/>
        <w:rPr>
          <w:sz w:val="24"/>
          <w:lang w:val="pl-PL"/>
        </w:rPr>
      </w:pPr>
      <w:r w:rsidRPr="006D6892">
        <w:rPr>
          <w:sz w:val="24"/>
          <w:lang w:val="pl-PL"/>
        </w:rPr>
        <w:t xml:space="preserve">Ogłoszone przez KE projekty legislacyjne dotyczące WPR, wskazują na dalszy spadek udziału wydatków na rolnictwo w budżecie Unii Europejskiej. Na początku lat osiemdziesiątych XX w. wydatki na WPR stanowiły blisko 70% budżetu UE, w obecnym okresie 2014–2020 stanowią 37,8%, natomiast w propozycji KE na lata 2021-2027 jest to już tylko 28,5% całkowitego budżetu. </w:t>
      </w:r>
      <w:r w:rsidRPr="006D6892">
        <w:rPr>
          <w:sz w:val="24"/>
          <w:szCs w:val="24"/>
          <w:lang w:val="pl-PL"/>
        </w:rPr>
        <w:t>Co gorsza, dzieje się to w czasach malejących dochodów rolniczych, coraz większej niestabilności na rynkach rolnych i postępującej depopulacji obszarów wiejskich, które wymagają inwestycji w poprawę poziomu życia przez rozwój infrastruktury technicznej i społecznej oraz zwiększoną dostępność usług.</w:t>
      </w:r>
    </w:p>
    <w:p w:rsidR="006D6892" w:rsidRPr="006D6892" w:rsidRDefault="006D6892" w:rsidP="006D6892">
      <w:pPr>
        <w:jc w:val="both"/>
        <w:rPr>
          <w:sz w:val="24"/>
          <w:lang w:val="pl-PL"/>
        </w:rPr>
      </w:pPr>
      <w:r w:rsidRPr="006D6892">
        <w:rPr>
          <w:sz w:val="24"/>
          <w:szCs w:val="24"/>
          <w:lang w:val="pl-PL"/>
        </w:rPr>
        <w:t xml:space="preserve">Po odliczeniu alokacji brytyjskiej (27,7 mld euro) proponowany budżet na rolnictwo w latach 2021-2027 wyniesie 365 mld euro. </w:t>
      </w:r>
      <w:r w:rsidRPr="006D6892">
        <w:rPr>
          <w:sz w:val="24"/>
          <w:lang w:val="pl-PL"/>
        </w:rPr>
        <w:t>Jest to o 5% mniej niż dotychczas w przeliczeniu na ceny bieżące z uwzględnieniem 2% inflacji, lub 12% mniej w przeliczeniu na ceny stałe z 2018 r. Z tej sumy 265,2 mld euro ma zostać przeznaczone na dopłaty bezpośrednie dla rolników, 78,8 mld euro na wsparcie obszarów wiejskich, a 20 mld euro na środki wsparcia rynkowego. Oczywiście są to kwoty przedstawione w cenach bieżących. Jeśli podamy te wielkości w cenach stałych z 2018 r., okazuje się, że ogólne nakłady na WPR w latach 2021-2027 wyniosą 330 mld, a w cenach stałych z 2014 r. 324 mld. Dla porównania w okresie 2014-2020 budżet WPR w cenach bieżących wynosi 408 mld euro, z czego 308 mld na I filar i ok. 100 mld euro na II filar.</w:t>
      </w:r>
    </w:p>
    <w:p w:rsidR="006D6892" w:rsidRPr="006D6892" w:rsidRDefault="006D6892" w:rsidP="006D6892">
      <w:pPr>
        <w:jc w:val="both"/>
        <w:rPr>
          <w:sz w:val="24"/>
          <w:lang w:val="pl-PL"/>
        </w:rPr>
      </w:pPr>
      <w:r w:rsidRPr="006D6892">
        <w:rPr>
          <w:sz w:val="24"/>
          <w:lang w:val="pl-PL"/>
        </w:rPr>
        <w:t>Dla polskich rolników koperta na płatności bezpośrednie zgodnie z propozycją KE to 21,2 mld euro w cenach bieżących, czyli ok. 1% mniej niż w obecnym budżecie, w którym było to 21,4 mld. W cenach stałych z 2018 r. nowy budżet na dopłaty bezpośrednie dla Polski ma wynieść 18,9 mld euro, czyli już o ok. 12% mniej. Z kolei w przypadku II filaru - dla Polski przewidziano 9,2 mld euro w cenach bieżących w porównaniu do 10,9 mld euro w obecnym okresie (-15,3%) i 8,2 mln w cenach stałych, co oznacza redukcję o ok. 25%.</w:t>
      </w:r>
    </w:p>
    <w:p w:rsidR="006D6892" w:rsidRPr="006D6892" w:rsidRDefault="006D6892" w:rsidP="006D6892">
      <w:pPr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Przy tak trudnej sytuacji w rolnictwie, gdy dochody rolnicze wynoszą niespełna 50% średniej dla pozostałych grup zawodowych, z czego dodatkowo połowa pochodzi ze środków unijnych, każde zmniejszenie budżetu WPR spowoduje niekorzystne zmiany. Z jednej strony, nasili się proces upadłości gospodarstw, a z drugiej – będzie rozwijana intensywna produkcja rolna w dużej skali, gdyż gospodarstwa aby wytrzymać konkurencję będą powiększały swój </w:t>
      </w:r>
      <w:r w:rsidRPr="006D6892">
        <w:rPr>
          <w:sz w:val="24"/>
          <w:szCs w:val="24"/>
          <w:lang w:val="pl-PL"/>
        </w:rPr>
        <w:lastRenderedPageBreak/>
        <w:t>obszar. W rezultacie będzie to prowadziło do dalszego wyludniania się wsi, braku osób chętnych do pracy w rolnictwie, będzie zanikał europejski model rolnictwa, oparty na małych i średnich gospodarstwach rodzinnych, przyjazny dla środowiska oraz utrzymujący wysokie standardy produkcji, dobrostanu zwierząt, zdrowia roślin i zwierząt. Dlatego w swoim wystąpieniu podczas debaty plenarnej na projektem budżetu ostro skrytykowałem jakiekolwiek próby ograniczania środków na rolnictwo, wskazując, że byłoby to niesprawiedliwe w świetle przedstawionych powyżej wyzwań dla sektora rolnego</w:t>
      </w:r>
      <w:r>
        <w:rPr>
          <w:rStyle w:val="Odwoanieprzypisudolnego"/>
        </w:rPr>
        <w:footnoteReference w:id="2"/>
      </w:r>
      <w:r w:rsidRPr="006D6892">
        <w:rPr>
          <w:sz w:val="24"/>
          <w:szCs w:val="24"/>
          <w:lang w:val="pl-PL"/>
        </w:rPr>
        <w:t>.</w:t>
      </w:r>
    </w:p>
    <w:p w:rsidR="006D6892" w:rsidRPr="006D6892" w:rsidRDefault="006D6892" w:rsidP="006D6892">
      <w:pPr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Komisja w swoich propozycjach legislacyjnych w sprawie reformy WPR proponuje obowiązkowy capping, czyli ograniczenie dopłat na gospodarstwo na poziomie 60 tys. euro rocznie i/lub wprowadzenie tzw. płatności degresywnych, tj. zmniejszających się wraz z areałem. Komisarz ds. rolnictwa Phil Hogan chce, aby uzyskane w ten sposób środki uzupełniły system zwiększonego finansowania gospodarstw mniejszych i średnich oraz wsparły działania interwencyjne. Zakłada się również, że środki te mogą pokryć zaproponowane zmniejszenie płatności, które w większości krajów wyniesie prawie 4%. Pozytywnym aspektem jest to, że proponuje się, aby od kwoty cappingu można było odliczyć koszty zatrudnienia pracowników w danym gospodarstwie. </w:t>
      </w:r>
    </w:p>
    <w:p w:rsidR="006D6892" w:rsidRPr="006D6892" w:rsidRDefault="006D6892" w:rsidP="006D6892">
      <w:pPr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>W obszarze wyrównywania płatności bezpośrednich Komisja nie wyszła naprzeciw oczekiwaniom polskiego rządu, który domagał się pełnego wyrównania dopłat w Unii (a nawet obiecywał podwojenie dopłat dla polskich rolników), ale trudno było się tego spodziewać. Zaproponowano jedynie dalszą konwergencję stawek płatności, tak aby w kolejnej perspektywie zmniejszyć o 50% różnicę między krajami o najniższych dopłatach, a poziomem 90% średniej unijnej. Takie podejście sprawi, że istotny wzrost odczują jedynie rolnicy w krajach bałtyckich, gdzie płatności bezpośrednie wzrosną średnio o ok. 13%. W przypadku Polski Komisja prognozuje niewielki spadek rzędu 0,9%, co wynika z faktu, że nasze płatności zbliżają się już do 90% unijnej. Dla większości krajów członkowskich przewidziano jednak dużo większe cięcia w wysokości 3,9%.</w:t>
      </w:r>
    </w:p>
    <w:p w:rsidR="006D6892" w:rsidRDefault="006D6892" w:rsidP="0027515D">
      <w:pPr>
        <w:jc w:val="both"/>
        <w:rPr>
          <w:sz w:val="24"/>
          <w:lang w:val="pl-PL"/>
        </w:rPr>
      </w:pPr>
    </w:p>
    <w:p w:rsidR="00547158" w:rsidRDefault="00547158" w:rsidP="0027515D">
      <w:pPr>
        <w:jc w:val="both"/>
        <w:rPr>
          <w:b/>
          <w:i/>
          <w:sz w:val="24"/>
          <w:lang w:val="pl-PL"/>
        </w:rPr>
      </w:pPr>
    </w:p>
    <w:p w:rsidR="006A15D9" w:rsidRDefault="006A15D9" w:rsidP="0027515D">
      <w:pPr>
        <w:jc w:val="both"/>
        <w:rPr>
          <w:b/>
          <w:i/>
          <w:sz w:val="24"/>
          <w:lang w:val="pl-PL"/>
        </w:rPr>
      </w:pPr>
    </w:p>
    <w:p w:rsidR="006A15D9" w:rsidRDefault="006A15D9" w:rsidP="0027515D">
      <w:pPr>
        <w:jc w:val="both"/>
        <w:rPr>
          <w:b/>
          <w:i/>
          <w:sz w:val="24"/>
          <w:lang w:val="pl-PL"/>
        </w:rPr>
      </w:pPr>
    </w:p>
    <w:p w:rsidR="006A15D9" w:rsidRDefault="006A15D9" w:rsidP="0027515D">
      <w:pPr>
        <w:jc w:val="both"/>
        <w:rPr>
          <w:b/>
          <w:i/>
          <w:sz w:val="24"/>
          <w:lang w:val="pl-PL"/>
        </w:rPr>
      </w:pPr>
    </w:p>
    <w:p w:rsidR="006D6892" w:rsidRDefault="006D6892" w:rsidP="0027515D">
      <w:pPr>
        <w:jc w:val="both"/>
        <w:rPr>
          <w:b/>
          <w:i/>
          <w:sz w:val="24"/>
          <w:lang w:val="pl-PL"/>
        </w:rPr>
      </w:pPr>
    </w:p>
    <w:p w:rsidR="006D6892" w:rsidRDefault="006D6892" w:rsidP="0027515D">
      <w:pPr>
        <w:jc w:val="both"/>
        <w:rPr>
          <w:b/>
          <w:i/>
          <w:sz w:val="24"/>
          <w:lang w:val="pl-PL"/>
        </w:rPr>
      </w:pPr>
    </w:p>
    <w:p w:rsidR="00A5718E" w:rsidRDefault="00A5718E" w:rsidP="0027515D">
      <w:pPr>
        <w:jc w:val="both"/>
        <w:rPr>
          <w:b/>
          <w:i/>
          <w:sz w:val="24"/>
          <w:lang w:val="pl-PL"/>
        </w:rPr>
      </w:pPr>
    </w:p>
    <w:p w:rsidR="006A15D9" w:rsidRDefault="006A15D9" w:rsidP="0027515D">
      <w:pPr>
        <w:jc w:val="both"/>
        <w:rPr>
          <w:b/>
          <w:i/>
          <w:sz w:val="24"/>
          <w:lang w:val="pl-PL"/>
        </w:rPr>
      </w:pPr>
    </w:p>
    <w:p w:rsidR="00D146FC" w:rsidRPr="003E5EB7" w:rsidRDefault="00D146FC" w:rsidP="0027515D">
      <w:pPr>
        <w:jc w:val="both"/>
        <w:rPr>
          <w:b/>
          <w:i/>
          <w:sz w:val="24"/>
          <w:lang w:val="pl-PL"/>
        </w:rPr>
      </w:pPr>
      <w:r w:rsidRPr="003E5EB7">
        <w:rPr>
          <w:b/>
          <w:i/>
          <w:sz w:val="24"/>
          <w:lang w:val="pl-PL"/>
        </w:rPr>
        <w:lastRenderedPageBreak/>
        <w:t xml:space="preserve">Wielkości kopert finansowych na płatności bezpośrednie w latach 2021-2027 (w mld euro, ceny bieżące) </w:t>
      </w:r>
    </w:p>
    <w:p w:rsidR="00D146FC" w:rsidRPr="00D146FC" w:rsidRDefault="00D146FC" w:rsidP="0027515D">
      <w:pPr>
        <w:jc w:val="both"/>
        <w:rPr>
          <w:sz w:val="24"/>
          <w:lang w:val="pl-PL"/>
        </w:rPr>
      </w:pPr>
      <w:r w:rsidRPr="00D146FC">
        <w:rPr>
          <w:noProof/>
          <w:sz w:val="24"/>
          <w:lang w:val="pl-PL" w:eastAsia="pl-PL"/>
        </w:rPr>
        <w:drawing>
          <wp:inline distT="0" distB="0" distL="0" distR="0">
            <wp:extent cx="5953125" cy="34194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E5EB7">
        <w:rPr>
          <w:sz w:val="24"/>
          <w:lang w:val="pl-PL"/>
        </w:rPr>
        <w:t>Źródło: KE</w:t>
      </w:r>
    </w:p>
    <w:p w:rsidR="003E5EB7" w:rsidRPr="00D146FC" w:rsidRDefault="003E5EB7" w:rsidP="0027515D">
      <w:pPr>
        <w:jc w:val="both"/>
        <w:rPr>
          <w:sz w:val="24"/>
          <w:lang w:val="pl-PL"/>
        </w:rPr>
      </w:pPr>
    </w:p>
    <w:p w:rsidR="00D146FC" w:rsidRPr="003E5EB7" w:rsidRDefault="00D146FC" w:rsidP="003630C9">
      <w:pPr>
        <w:jc w:val="both"/>
        <w:rPr>
          <w:b/>
          <w:i/>
          <w:sz w:val="24"/>
          <w:lang w:val="pl-PL"/>
        </w:rPr>
      </w:pPr>
      <w:r w:rsidRPr="003E5EB7">
        <w:rPr>
          <w:b/>
          <w:i/>
          <w:sz w:val="24"/>
          <w:lang w:val="pl-PL"/>
        </w:rPr>
        <w:t xml:space="preserve">Wielkości kopert finansowych na rozwój obszarów wiejskich w latach 2021-2027 (w mld euro, ceny bieżące) </w:t>
      </w:r>
      <w:r w:rsidRPr="003E5EB7">
        <w:rPr>
          <w:b/>
          <w:i/>
          <w:sz w:val="24"/>
          <w:lang w:val="pl-PL"/>
        </w:rPr>
        <w:tab/>
      </w:r>
    </w:p>
    <w:p w:rsidR="00D146FC" w:rsidRDefault="00D146FC" w:rsidP="0027515D">
      <w:pPr>
        <w:jc w:val="both"/>
        <w:rPr>
          <w:sz w:val="24"/>
          <w:lang w:val="pl-PL"/>
        </w:rPr>
      </w:pPr>
      <w:r w:rsidRPr="00D146FC">
        <w:rPr>
          <w:noProof/>
          <w:sz w:val="24"/>
          <w:lang w:val="pl-PL" w:eastAsia="pl-PL"/>
        </w:rPr>
        <w:drawing>
          <wp:inline distT="0" distB="0" distL="0" distR="0">
            <wp:extent cx="5953125" cy="35052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5EB7" w:rsidRPr="00D146FC" w:rsidRDefault="003E5EB7" w:rsidP="0027515D">
      <w:pPr>
        <w:jc w:val="both"/>
        <w:rPr>
          <w:sz w:val="24"/>
          <w:lang w:val="pl-PL"/>
        </w:rPr>
      </w:pPr>
      <w:r>
        <w:rPr>
          <w:sz w:val="24"/>
          <w:lang w:val="pl-PL"/>
        </w:rPr>
        <w:t>Źródło: KE</w:t>
      </w:r>
    </w:p>
    <w:p w:rsidR="003630C9" w:rsidRDefault="00D146FC" w:rsidP="0027515D">
      <w:pPr>
        <w:jc w:val="both"/>
        <w:rPr>
          <w:b/>
          <w:sz w:val="24"/>
          <w:lang w:val="pl-PL"/>
        </w:rPr>
      </w:pPr>
      <w:r w:rsidRPr="00D146FC">
        <w:rPr>
          <w:b/>
          <w:sz w:val="24"/>
          <w:lang w:val="pl-PL"/>
        </w:rPr>
        <w:lastRenderedPageBreak/>
        <w:t>Najważniejsze elementy propozycji budżetu na WPR na lata 2021-2027 dotyczące polskich rolników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>Ważną dla Polski zmianą jest ograniczenie możliwości przesuwania pieniędzy pomiędzy I a II filarem. Dotychczas w ramach tego mechanizmu można było przesuwać do 25% z II filaru, z czego Polska często korzystała. Dzięki tej operacji dopłaty bezpośrednie dla polskich rolników mogły być wyższe. W przyszłym budżecie z jednej puli do drugiej będzie można przesunąć tylko 15%.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Każdy z krajów członkowskich będzie musiał przeznaczyć 2% całkowitej koperty na płatności bezpośrednie na pomoc dla młodych rolników, którzy będą rozpoczynać działalność; </w:t>
      </w:r>
      <w:r w:rsidRPr="006D6892">
        <w:rPr>
          <w:rFonts w:cs="Verdana"/>
          <w:sz w:val="24"/>
          <w:szCs w:val="24"/>
          <w:lang w:val="pl-PL"/>
        </w:rPr>
        <w:t>maksymalna kwota pomocy na podejmowanie działalności przez młodych rolników i na zakładanie przedsiębiorstw wiejskich zostanie zwiększona do 100 tys. euro.</w:t>
      </w:r>
      <w:r w:rsidRPr="006D6892">
        <w:rPr>
          <w:sz w:val="24"/>
          <w:szCs w:val="24"/>
          <w:lang w:val="pl-PL"/>
        </w:rPr>
        <w:t xml:space="preserve"> Ponadto </w:t>
      </w:r>
      <w:r w:rsidRPr="006D6892">
        <w:rPr>
          <w:rFonts w:cs="Verdana"/>
          <w:sz w:val="24"/>
          <w:szCs w:val="24"/>
          <w:lang w:val="pl-PL"/>
        </w:rPr>
        <w:t>Plan strategiczny WPR każdego kraju będzie musiał zawierać specjalną strategię przyciągania i wspierania młodych rolników, w tym opis sposobu spójniejszego i skuteczniejszego wykorzystywania wsparcia krajowego i unijnego.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KE proponuje także, aby co najmniej 30% środków przeznaczonych na rozwój obszarów wiejskich przeznaczyć na działania z zakresu ochrony klimatu i środowiska. Na tego typu działania państwa członkowskie będą mogły przenosić dodatkowe 15% funduszy pomiędzy filarami, bez udziału własnego. 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KE proponuje, aby część środków z dopłat mogła być wykorzystana na działalność ekologiczną tzw. nowy „ekoprogram”, który będzie obowiązkowy dla państw i dobrowolny dla rolników. </w:t>
      </w:r>
      <w:r w:rsidRPr="006D6892">
        <w:rPr>
          <w:rFonts w:cs="Verdana"/>
          <w:sz w:val="24"/>
          <w:szCs w:val="24"/>
          <w:lang w:val="pl-PL"/>
        </w:rPr>
        <w:t>Ekoprogramy będą służyć realizacji celów w zakresie klimatu i ochrony środowiska</w:t>
      </w:r>
      <w:r w:rsidRPr="006D6892">
        <w:rPr>
          <w:sz w:val="24"/>
          <w:szCs w:val="24"/>
          <w:lang w:val="pl-PL"/>
        </w:rPr>
        <w:t xml:space="preserve"> </w:t>
      </w:r>
      <w:r w:rsidRPr="006D6892">
        <w:rPr>
          <w:rFonts w:cs="Verdana"/>
          <w:sz w:val="24"/>
          <w:szCs w:val="24"/>
          <w:lang w:val="pl-PL"/>
        </w:rPr>
        <w:t>poprzez uzupełnienie innych odpowiednich dostępnych instrumentów.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Wprowadzenie nowego systemu „warunkowości” (połączone elementy zasady wzajemnej zgodności i zazielenienia), który </w:t>
      </w:r>
      <w:r w:rsidRPr="006D6892">
        <w:rPr>
          <w:rFonts w:cs="Verdana"/>
          <w:sz w:val="24"/>
          <w:szCs w:val="24"/>
          <w:lang w:val="pl-PL"/>
        </w:rPr>
        <w:t>uzależni wszystkie formy wsparcia dochodów rolników (i pozostałe płatności obszarowe i płatności związane ze zwierzętami) ze stosowaniem ekologicznych i przyjaznych</w:t>
      </w:r>
      <w:r w:rsidRPr="006D6892">
        <w:rPr>
          <w:sz w:val="24"/>
          <w:szCs w:val="24"/>
          <w:lang w:val="pl-PL"/>
        </w:rPr>
        <w:t xml:space="preserve"> </w:t>
      </w:r>
      <w:r w:rsidRPr="006D6892">
        <w:rPr>
          <w:rFonts w:cs="Verdana"/>
          <w:sz w:val="24"/>
          <w:szCs w:val="24"/>
          <w:lang w:val="pl-PL"/>
        </w:rPr>
        <w:t>dla klimatu praktyk rolniczych.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>Wsparcie dochodów związanych z wielkością produkcją w przypadku sektorów, które są w trudnej sytuacji; ponadto możliwość stosowania systemu SAPS dla wszystkich oraz wsparcie dla drobnych producentów rolnych.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>KE proponuje dodatkowe 10 mld euro, które zostanie udostępnione w ramach unijnego programu badawczego „Horyzont Europa” na wsparcie konkretnych projektów badawczych i innowacji w zakresie żywności, rolnictwa, rozwoju obszarów wiejskich i gospodarki ekologicznej.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 xml:space="preserve">Obowiązek wprowadzenia instrumentów zarządzania ryzykiem – państwa </w:t>
      </w:r>
      <w:r w:rsidRPr="006D6892">
        <w:rPr>
          <w:rFonts w:cs="Verdana"/>
          <w:sz w:val="24"/>
          <w:szCs w:val="24"/>
          <w:lang w:val="pl-PL"/>
        </w:rPr>
        <w:t>członkowskie będą musiały wspierać narzędzia zarządzania ryzykiem w ramach rozwoju</w:t>
      </w:r>
      <w:r w:rsidRPr="006D6892">
        <w:rPr>
          <w:sz w:val="24"/>
          <w:szCs w:val="24"/>
          <w:lang w:val="pl-PL"/>
        </w:rPr>
        <w:t xml:space="preserve"> </w:t>
      </w:r>
      <w:r w:rsidRPr="006D6892">
        <w:rPr>
          <w:rFonts w:cs="Verdana"/>
          <w:sz w:val="24"/>
          <w:szCs w:val="24"/>
          <w:lang w:val="pl-PL"/>
        </w:rPr>
        <w:t>obszarów wiejskich.</w:t>
      </w:r>
      <w:r w:rsidRPr="006D6892">
        <w:rPr>
          <w:sz w:val="24"/>
          <w:szCs w:val="24"/>
          <w:lang w:val="pl-PL"/>
        </w:rPr>
        <w:t xml:space="preserve"> </w:t>
      </w:r>
      <w:r w:rsidRPr="006D6892">
        <w:rPr>
          <w:rFonts w:cs="Verdana"/>
          <w:sz w:val="24"/>
          <w:szCs w:val="24"/>
          <w:lang w:val="pl-PL"/>
        </w:rPr>
        <w:t xml:space="preserve">Ten rodzaj wsparcia będzie miał formę wkładu finansowego na składki z tytułu systemów ubezpieczeń i funduszy ubezpieczeń </w:t>
      </w:r>
      <w:r w:rsidRPr="006D6892">
        <w:rPr>
          <w:rFonts w:cs="Verdana"/>
          <w:sz w:val="24"/>
          <w:szCs w:val="24"/>
          <w:lang w:val="pl-PL"/>
        </w:rPr>
        <w:lastRenderedPageBreak/>
        <w:t>wzajemnych, obejmujące zarówno ryzyko związane z produkcją, jak i z uzyskiwanymi przez rolników dochodami.</w:t>
      </w:r>
    </w:p>
    <w:p w:rsidR="006D6892" w:rsidRPr="006D6892" w:rsidRDefault="006D6892" w:rsidP="006D6892">
      <w:pPr>
        <w:numPr>
          <w:ilvl w:val="0"/>
          <w:numId w:val="1"/>
        </w:numPr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rFonts w:cs="Verdana"/>
          <w:sz w:val="24"/>
          <w:szCs w:val="24"/>
          <w:lang w:val="pl-PL"/>
        </w:rPr>
        <w:t>Przyszłe środki na rzecz rozwoju obszarów wiejskich będą kierowane tam, gdzie mogą wnieść rzeczywistą wartość dodaną w rozwój lokalny oraz gospodarkę rolną i wiejską – pozostawiając innym funduszom UE zadanie wspierania dużych projektów infrastrukturalnych, w tym sieci szerokopasmowych. Jednym z kluczowych elementów przyszłej polityki rozwoju obszarów wiejskich będzie promowanie rozwoju inteligentnych wsi oraz poprawa lokalnej infrastruktury.</w:t>
      </w:r>
    </w:p>
    <w:p w:rsidR="006D6892" w:rsidRPr="006D6892" w:rsidRDefault="006D6892" w:rsidP="006D6892">
      <w:pPr>
        <w:numPr>
          <w:ilvl w:val="0"/>
          <w:numId w:val="1"/>
        </w:numPr>
        <w:spacing w:after="360"/>
        <w:ind w:left="714" w:hanging="357"/>
        <w:jc w:val="both"/>
        <w:rPr>
          <w:sz w:val="24"/>
          <w:szCs w:val="24"/>
          <w:lang w:val="pl-PL"/>
        </w:rPr>
      </w:pPr>
      <w:r w:rsidRPr="006D6892">
        <w:rPr>
          <w:sz w:val="24"/>
          <w:szCs w:val="24"/>
          <w:lang w:val="pl-PL"/>
        </w:rPr>
        <w:t>Uzależnienie wypłaty środków w ramach WPR w powiązaniu z przestrzeganiem przez dany kraj zasad praworządności; ponadto KE będzie mogła zastosować kary finansowe lub wstrzymać wypłatę funduszy w przypadku, gdy będą one niewłaściwie wydawane, bądź kraje nie będą realizować założonych celów.</w:t>
      </w:r>
    </w:p>
    <w:p w:rsidR="00D146FC" w:rsidRPr="003E5EB7" w:rsidRDefault="00D146FC" w:rsidP="0027515D">
      <w:pPr>
        <w:jc w:val="both"/>
        <w:rPr>
          <w:b/>
          <w:i/>
          <w:sz w:val="24"/>
          <w:lang w:val="pl-PL"/>
        </w:rPr>
      </w:pPr>
      <w:r w:rsidRPr="003E5EB7">
        <w:rPr>
          <w:b/>
          <w:i/>
          <w:sz w:val="24"/>
          <w:lang w:val="pl-PL"/>
        </w:rPr>
        <w:t>Porównanie wysokości kopert finansowych na płatności bezpośrednie oraz rozwój obszarów wiejskich dla Polski w latach 2014-2020 oraz 2021-</w:t>
      </w:r>
      <w:r w:rsidR="003E5EB7">
        <w:rPr>
          <w:b/>
          <w:i/>
          <w:sz w:val="24"/>
          <w:lang w:val="pl-PL"/>
        </w:rPr>
        <w:t>2027 (w mld euro, ceny bieżące)</w:t>
      </w:r>
    </w:p>
    <w:p w:rsidR="00874F0B" w:rsidRDefault="00A5597A" w:rsidP="00874F0B">
      <w:pPr>
        <w:jc w:val="both"/>
        <w:rPr>
          <w:sz w:val="24"/>
          <w:lang w:val="pl-PL"/>
        </w:rPr>
      </w:pPr>
      <w:r w:rsidRPr="00A5597A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 wp14:anchorId="3F6F2AFB" wp14:editId="26D0C191">
            <wp:extent cx="4584700" cy="2755900"/>
            <wp:effectExtent l="0" t="0" r="6350" b="635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EB7" w:rsidRDefault="003E5EB7" w:rsidP="00874F0B">
      <w:pPr>
        <w:jc w:val="both"/>
        <w:rPr>
          <w:sz w:val="24"/>
          <w:lang w:val="pl-PL"/>
        </w:rPr>
      </w:pPr>
      <w:r>
        <w:rPr>
          <w:sz w:val="24"/>
          <w:lang w:val="pl-PL"/>
        </w:rPr>
        <w:t>Źródło: KE</w:t>
      </w:r>
    </w:p>
    <w:p w:rsidR="00874F0B" w:rsidRDefault="00874F0B" w:rsidP="00874F0B">
      <w:pPr>
        <w:jc w:val="both"/>
        <w:rPr>
          <w:sz w:val="24"/>
          <w:lang w:val="pl-PL"/>
        </w:rPr>
      </w:pPr>
    </w:p>
    <w:p w:rsidR="00874F0B" w:rsidRDefault="00874F0B" w:rsidP="00874F0B">
      <w:pPr>
        <w:jc w:val="both"/>
        <w:rPr>
          <w:sz w:val="24"/>
          <w:lang w:val="pl-PL"/>
        </w:rPr>
      </w:pPr>
    </w:p>
    <w:p w:rsidR="006D6892" w:rsidRDefault="006D6892" w:rsidP="00874F0B">
      <w:pPr>
        <w:jc w:val="both"/>
        <w:rPr>
          <w:sz w:val="24"/>
          <w:lang w:val="pl-PL"/>
        </w:rPr>
      </w:pPr>
    </w:p>
    <w:p w:rsidR="006D6892" w:rsidRDefault="006D6892" w:rsidP="00874F0B">
      <w:pPr>
        <w:jc w:val="both"/>
        <w:rPr>
          <w:sz w:val="24"/>
          <w:lang w:val="pl-PL"/>
        </w:rPr>
      </w:pPr>
    </w:p>
    <w:p w:rsidR="006D6892" w:rsidRDefault="006D6892" w:rsidP="00874F0B">
      <w:pPr>
        <w:jc w:val="both"/>
        <w:rPr>
          <w:sz w:val="24"/>
          <w:lang w:val="pl-PL"/>
        </w:rPr>
      </w:pPr>
    </w:p>
    <w:p w:rsidR="006D6892" w:rsidRDefault="006D6892" w:rsidP="00874F0B">
      <w:pPr>
        <w:jc w:val="both"/>
        <w:rPr>
          <w:sz w:val="24"/>
          <w:lang w:val="pl-PL"/>
        </w:rPr>
      </w:pPr>
    </w:p>
    <w:p w:rsidR="006D6892" w:rsidRDefault="006D6892" w:rsidP="00874F0B">
      <w:pPr>
        <w:jc w:val="both"/>
        <w:rPr>
          <w:sz w:val="24"/>
          <w:lang w:val="pl-PL"/>
        </w:rPr>
      </w:pPr>
    </w:p>
    <w:p w:rsidR="00D146FC" w:rsidRPr="003E5EB7" w:rsidRDefault="00D146FC" w:rsidP="00874F0B">
      <w:pPr>
        <w:jc w:val="both"/>
        <w:rPr>
          <w:b/>
          <w:i/>
          <w:sz w:val="24"/>
          <w:lang w:val="pl-PL"/>
        </w:rPr>
      </w:pPr>
      <w:r w:rsidRPr="003E5EB7">
        <w:rPr>
          <w:b/>
          <w:i/>
          <w:sz w:val="24"/>
          <w:lang w:val="pl-PL"/>
        </w:rPr>
        <w:lastRenderedPageBreak/>
        <w:t>Środki finansowe w ramach płatności bezpośrednich i rozwoju obszarów</w:t>
      </w:r>
      <w:r w:rsidR="00874F0B" w:rsidRPr="003E5EB7">
        <w:rPr>
          <w:b/>
          <w:i/>
          <w:sz w:val="24"/>
          <w:lang w:val="pl-PL"/>
        </w:rPr>
        <w:t xml:space="preserve"> wiejskich dla Polski w latach </w:t>
      </w:r>
      <w:r w:rsidRPr="003E5EB7">
        <w:rPr>
          <w:b/>
          <w:i/>
          <w:sz w:val="24"/>
          <w:lang w:val="pl-PL"/>
        </w:rPr>
        <w:t>2014-2020 i 2021-</w:t>
      </w:r>
      <w:r w:rsidR="003E5EB7">
        <w:rPr>
          <w:b/>
          <w:i/>
          <w:sz w:val="24"/>
          <w:lang w:val="pl-PL"/>
        </w:rPr>
        <w:t>2027 (w mld euro, ceny bieżące)</w:t>
      </w:r>
    </w:p>
    <w:p w:rsidR="00D146FC" w:rsidRPr="00D146FC" w:rsidRDefault="00A5597A" w:rsidP="0027515D">
      <w:pPr>
        <w:jc w:val="both"/>
        <w:rPr>
          <w:sz w:val="24"/>
          <w:lang w:val="pl-PL"/>
        </w:rPr>
      </w:pPr>
      <w:r w:rsidRPr="00A5597A">
        <w:rPr>
          <w:rFonts w:ascii="Calibri" w:eastAsia="Calibri" w:hAnsi="Calibri" w:cs="Times New Roman"/>
          <w:noProof/>
          <w:lang w:val="pl-PL" w:eastAsia="pl-PL"/>
        </w:rPr>
        <w:drawing>
          <wp:inline distT="0" distB="0" distL="0" distR="0" wp14:anchorId="68BB3FD5" wp14:editId="728CAEA9">
            <wp:extent cx="4576800" cy="2600076"/>
            <wp:effectExtent l="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04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FC" w:rsidRDefault="00A5718E" w:rsidP="0027515D">
      <w:pPr>
        <w:jc w:val="both"/>
        <w:rPr>
          <w:sz w:val="24"/>
          <w:lang w:val="pl-PL"/>
        </w:rPr>
      </w:pPr>
      <w:r>
        <w:rPr>
          <w:sz w:val="24"/>
          <w:lang w:val="pl-PL"/>
        </w:rPr>
        <w:t>Źródło</w:t>
      </w:r>
      <w:r w:rsidR="003E5EB7">
        <w:rPr>
          <w:sz w:val="24"/>
          <w:lang w:val="pl-PL"/>
        </w:rPr>
        <w:t>: KE</w:t>
      </w:r>
    </w:p>
    <w:p w:rsidR="00D146FC" w:rsidRPr="00D146FC" w:rsidRDefault="00D146FC" w:rsidP="0027515D">
      <w:pPr>
        <w:jc w:val="both"/>
        <w:rPr>
          <w:b/>
          <w:sz w:val="24"/>
          <w:lang w:val="pl-PL"/>
        </w:rPr>
      </w:pPr>
      <w:r w:rsidRPr="00D146FC">
        <w:rPr>
          <w:b/>
          <w:sz w:val="24"/>
          <w:lang w:val="pl-PL"/>
        </w:rPr>
        <w:t>Ocena propozycji KE w zakresie nowego budżetu na WPR na lata 2021-2027</w:t>
      </w:r>
    </w:p>
    <w:p w:rsidR="00D146FC" w:rsidRPr="00D146FC" w:rsidRDefault="00D146FC" w:rsidP="0027515D">
      <w:pPr>
        <w:numPr>
          <w:ilvl w:val="0"/>
          <w:numId w:val="2"/>
        </w:num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Proponowane cięcia budżetowe na WPR szkodzą konkurencyjności gospodarstw rolnych, zagrażają dochodom rolników i ich rodzin, hamują inwestycje, modernizację i działania innowacyjne. Nie ma zgody na to, aby spadek wpł</w:t>
      </w:r>
      <w:r w:rsidR="00547158">
        <w:rPr>
          <w:sz w:val="24"/>
          <w:lang w:val="pl-PL"/>
        </w:rPr>
        <w:t>ywów do budżetu UE spowodowany b</w:t>
      </w:r>
      <w:r w:rsidRPr="00D146FC">
        <w:rPr>
          <w:sz w:val="24"/>
          <w:lang w:val="pl-PL"/>
        </w:rPr>
        <w:t>rexitem, był pokrywany przez rolników.</w:t>
      </w:r>
    </w:p>
    <w:p w:rsidR="00D146FC" w:rsidRPr="00D146FC" w:rsidRDefault="00D146FC" w:rsidP="0027515D">
      <w:pPr>
        <w:numPr>
          <w:ilvl w:val="0"/>
          <w:numId w:val="2"/>
        </w:num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Jakiekolwiek próby ograniczania środków na rolnictwo, byłyby sprzeczne i niesprawiedliwe w świetle przedstawianych przez KE wyzwań dla sektora rolnego.</w:t>
      </w:r>
    </w:p>
    <w:p w:rsidR="00D146FC" w:rsidRPr="00D146FC" w:rsidRDefault="00D146FC" w:rsidP="0027515D">
      <w:pPr>
        <w:numPr>
          <w:ilvl w:val="0"/>
          <w:numId w:val="2"/>
        </w:num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Przy tak trudnej sytuacji w rolnictwie, gdy dochody rolnicze wynoszą niespełna 50% średniej dla pozostałych grup zawodowych, z czego dodatkowo połowa pochodzi ze środków unijnych, każde zmniejszenie budżetu WPR musi powodować niekorzystne zmiany.</w:t>
      </w:r>
    </w:p>
    <w:p w:rsidR="00D146FC" w:rsidRPr="00D146FC" w:rsidRDefault="00D146FC" w:rsidP="0027515D">
      <w:pPr>
        <w:numPr>
          <w:ilvl w:val="0"/>
          <w:numId w:val="2"/>
        </w:numPr>
        <w:jc w:val="both"/>
        <w:rPr>
          <w:sz w:val="24"/>
          <w:lang w:val="pl-PL"/>
        </w:rPr>
      </w:pPr>
      <w:r w:rsidRPr="00D146FC">
        <w:rPr>
          <w:sz w:val="24"/>
          <w:lang w:val="pl-PL"/>
        </w:rPr>
        <w:t>Zmniejszenie budżetu na WPR nasili się proces upadłości gospodarstw, rozwijana będzie intensywna produkcja rolna w dużej skali, gdyż gospodarstwa aby wytrzymać konkurencję będą powiększały swój obszar. W rezultacie będzie to prowadziło do dalszego wyludniania się wsi, braku osób chętnych do pracy w rolnictwie, będzie zanikał europejski model rolnictwa, oparty na małych i średnich gospodarstwach rodzinnych, przyjazny dla środowiska oraz utrzymujący wysokie standardy produkcji, dobrostanu zwierząt, zdrowia roślin i zwierząt.</w:t>
      </w:r>
    </w:p>
    <w:p w:rsidR="00A5597A" w:rsidRPr="00F75CAE" w:rsidRDefault="00D146FC" w:rsidP="0027515D">
      <w:pPr>
        <w:numPr>
          <w:ilvl w:val="0"/>
          <w:numId w:val="2"/>
        </w:numPr>
        <w:jc w:val="both"/>
        <w:rPr>
          <w:sz w:val="24"/>
          <w:lang w:val="pl-PL"/>
        </w:rPr>
      </w:pPr>
      <w:r w:rsidRPr="00F75CAE">
        <w:rPr>
          <w:sz w:val="24"/>
          <w:lang w:val="pl-PL"/>
        </w:rPr>
        <w:t>W obszarze wyrównywania płatności bezpośrednich KE nie wyszła naprzeciw oczekiwaniom polskiego rządu, który domagał się pełnego wyrównania dopłat w Unii (a nawet obiecywał podwojenie dopłat dla polskich rolników), ale trudno było się tego spodziewać. Zaproponowano jedynie dalszą konwergencję stawek płatności, tak aby w kolejnej perspektywie zmniejszyć o 50% różnicę między krajami o najniższych dopłatach, a poziomem 90% średniej unijnej.</w:t>
      </w:r>
    </w:p>
    <w:sectPr w:rsidR="00A5597A" w:rsidRPr="00F75CAE" w:rsidSect="00A63603">
      <w:footerReference w:type="default" r:id="rId14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AC" w:rsidRDefault="00C43DAC" w:rsidP="00D146FC">
      <w:pPr>
        <w:spacing w:after="0" w:line="240" w:lineRule="auto"/>
      </w:pPr>
      <w:r>
        <w:separator/>
      </w:r>
    </w:p>
  </w:endnote>
  <w:endnote w:type="continuationSeparator" w:id="0">
    <w:p w:rsidR="00C43DAC" w:rsidRDefault="00C43DAC" w:rsidP="00D1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32676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146FC" w:rsidRDefault="00D146FC">
            <w:pPr>
              <w:pStyle w:val="Stopka"/>
              <w:jc w:val="center"/>
            </w:pPr>
            <w:r>
              <w:t>Strona</w:t>
            </w:r>
          </w:p>
          <w:p w:rsidR="00D146FC" w:rsidRDefault="00D146FC">
            <w:pPr>
              <w:pStyle w:val="Stopka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7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478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46FC" w:rsidRDefault="00D14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AC" w:rsidRDefault="00C43DAC" w:rsidP="00D146FC">
      <w:pPr>
        <w:spacing w:after="0" w:line="240" w:lineRule="auto"/>
      </w:pPr>
      <w:r>
        <w:separator/>
      </w:r>
    </w:p>
  </w:footnote>
  <w:footnote w:type="continuationSeparator" w:id="0">
    <w:p w:rsidR="00C43DAC" w:rsidRDefault="00C43DAC" w:rsidP="00D146FC">
      <w:pPr>
        <w:spacing w:after="0" w:line="240" w:lineRule="auto"/>
      </w:pPr>
      <w:r>
        <w:continuationSeparator/>
      </w:r>
    </w:p>
  </w:footnote>
  <w:footnote w:id="1">
    <w:p w:rsidR="00871133" w:rsidRPr="00871133" w:rsidRDefault="0087113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871133">
        <w:rPr>
          <w:lang w:val="pl-PL"/>
        </w:rPr>
        <w:t xml:space="preserve"> </w:t>
      </w:r>
      <w:r>
        <w:rPr>
          <w:lang w:val="pl-PL"/>
        </w:rPr>
        <w:t>Fundusz Spójności jest przeznaczony dla krajów, których DNB wynosi</w:t>
      </w:r>
      <w:r w:rsidR="00842D35">
        <w:rPr>
          <w:lang w:val="pl-PL"/>
        </w:rPr>
        <w:t xml:space="preserve"> mniej niż 90% średniej unijnej i razem z Europejskim Funduszem Rozwoju Regionalnego i Europejskim Funduszem Społecznym tworzą tzw. politykę spójności UE</w:t>
      </w:r>
      <w:r>
        <w:rPr>
          <w:lang w:val="pl-PL"/>
        </w:rPr>
        <w:t xml:space="preserve"> </w:t>
      </w:r>
    </w:p>
  </w:footnote>
  <w:footnote w:id="2">
    <w:p w:rsidR="006D6892" w:rsidRPr="006D6892" w:rsidRDefault="006D6892" w:rsidP="006D6892">
      <w:pPr>
        <w:spacing w:after="0"/>
        <w:rPr>
          <w:sz w:val="20"/>
          <w:szCs w:val="20"/>
          <w:lang w:val="pl-PL"/>
        </w:rPr>
      </w:pPr>
      <w:r w:rsidRPr="00702981">
        <w:rPr>
          <w:rStyle w:val="Znakiprzypiswdolnych"/>
          <w:rFonts w:ascii="Calibri" w:hAnsi="Calibri"/>
          <w:vertAlign w:val="superscript"/>
        </w:rPr>
        <w:footnoteRef/>
      </w:r>
      <w:r w:rsidRPr="006D6892">
        <w:rPr>
          <w:sz w:val="20"/>
          <w:szCs w:val="20"/>
          <w:lang w:val="pl-PL"/>
        </w:rPr>
        <w:t xml:space="preserve"> </w:t>
      </w:r>
      <w:hyperlink r:id="rId1" w:history="1">
        <w:r w:rsidRPr="006D6892">
          <w:rPr>
            <w:rStyle w:val="Hipercze"/>
            <w:sz w:val="20"/>
            <w:szCs w:val="20"/>
            <w:lang w:val="pl-PL"/>
          </w:rPr>
          <w:t>http://www.europarl.europa.eu/sides/getDoc.do?pubRef=-//EP//TEXT+CRE+20180502+ITEM-020+DOC+XML+V0//EN&amp;language=en&amp;query=INTERV&amp;detail=1-089-000</w:t>
        </w:r>
      </w:hyperlink>
      <w:r w:rsidRPr="006D6892">
        <w:rPr>
          <w:sz w:val="20"/>
          <w:szCs w:val="20"/>
          <w:lang w:val="pl-PL"/>
        </w:rPr>
        <w:t xml:space="preserve"> (07/05/2018)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54A4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0E1800"/>
    <w:multiLevelType w:val="hybridMultilevel"/>
    <w:tmpl w:val="BC80E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A4357"/>
    <w:multiLevelType w:val="hybridMultilevel"/>
    <w:tmpl w:val="60DE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A615B"/>
    <w:multiLevelType w:val="hybridMultilevel"/>
    <w:tmpl w:val="1A92A2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1335"/>
    <w:multiLevelType w:val="hybridMultilevel"/>
    <w:tmpl w:val="129C5EE2"/>
    <w:lvl w:ilvl="0" w:tplc="6CAEE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0D"/>
    <w:rsid w:val="00034781"/>
    <w:rsid w:val="000D1302"/>
    <w:rsid w:val="0027515D"/>
    <w:rsid w:val="002E730D"/>
    <w:rsid w:val="003630C9"/>
    <w:rsid w:val="003E5EB7"/>
    <w:rsid w:val="00547158"/>
    <w:rsid w:val="006A15D9"/>
    <w:rsid w:val="006B5B39"/>
    <w:rsid w:val="006D6892"/>
    <w:rsid w:val="007B2705"/>
    <w:rsid w:val="00842D35"/>
    <w:rsid w:val="00871133"/>
    <w:rsid w:val="00874F0B"/>
    <w:rsid w:val="008D1E40"/>
    <w:rsid w:val="008F25D6"/>
    <w:rsid w:val="00A46CB9"/>
    <w:rsid w:val="00A5597A"/>
    <w:rsid w:val="00A5718E"/>
    <w:rsid w:val="00A63603"/>
    <w:rsid w:val="00AB06DC"/>
    <w:rsid w:val="00AF1028"/>
    <w:rsid w:val="00B44626"/>
    <w:rsid w:val="00C43DAC"/>
    <w:rsid w:val="00C71087"/>
    <w:rsid w:val="00CE3822"/>
    <w:rsid w:val="00D146FC"/>
    <w:rsid w:val="00D20D38"/>
    <w:rsid w:val="00DC40FF"/>
    <w:rsid w:val="00E525ED"/>
    <w:rsid w:val="00EF646F"/>
    <w:rsid w:val="00F01DFF"/>
    <w:rsid w:val="00F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BF181-BB13-4B37-B65F-B6B14FA2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4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6FC"/>
  </w:style>
  <w:style w:type="paragraph" w:styleId="Stopka">
    <w:name w:val="footer"/>
    <w:basedOn w:val="Normalny"/>
    <w:link w:val="StopkaZnak"/>
    <w:uiPriority w:val="99"/>
    <w:unhideWhenUsed/>
    <w:rsid w:val="00D14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F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1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1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711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F0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20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punktowana2">
    <w:name w:val="List Bullet 2"/>
    <w:basedOn w:val="Normalny"/>
    <w:uiPriority w:val="99"/>
    <w:unhideWhenUsed/>
    <w:rsid w:val="00D20D38"/>
    <w:pPr>
      <w:numPr>
        <w:numId w:val="3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20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0D38"/>
  </w:style>
  <w:style w:type="character" w:styleId="Hipercze">
    <w:name w:val="Hyperlink"/>
    <w:basedOn w:val="Domylnaczcionkaakapitu"/>
    <w:uiPriority w:val="99"/>
    <w:unhideWhenUsed/>
    <w:rsid w:val="00A5597A"/>
    <w:rPr>
      <w:color w:val="0563C1" w:themeColor="hyperlink"/>
      <w:u w:val="single"/>
    </w:rPr>
  </w:style>
  <w:style w:type="character" w:customStyle="1" w:styleId="Znakiprzypiswdolnych">
    <w:name w:val="Znaki przypisów dolnych"/>
    <w:rsid w:val="006D6892"/>
  </w:style>
  <w:style w:type="paragraph" w:styleId="Akapitzlist">
    <w:name w:val="List Paragraph"/>
    <w:basedOn w:val="Normalny"/>
    <w:uiPriority w:val="34"/>
    <w:qFormat/>
    <w:rsid w:val="006D6892"/>
    <w:pPr>
      <w:ind w:left="720"/>
      <w:contextualSpacing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rl.europa.eu/sides/getDoc.do?pubRef=-//EP//TEXT+CRE+20180502+ITEM-020+DOC+XML+V0//EN&amp;language=en&amp;query=INTERV&amp;detail=1-089-00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C:\Users\Poslednik\Desktop\wykresy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BUGDET%202021%2020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032174103237096"/>
          <c:y val="5.1400554097404488E-2"/>
          <c:w val="0.83912270341207351"/>
          <c:h val="0.81572142023913674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1"/>
            <c:invertIfNegative val="0"/>
            <c:bubble3D val="0"/>
            <c:spPr>
              <a:pattFill prst="wdDnDiag">
                <a:fgClr>
                  <a:schemeClr val="accent2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4578-42E3-8C9D-701EA4437F9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Arkusz1!$C$41:$D$41</c:f>
              <c:strCache>
                <c:ptCount val="2"/>
                <c:pt idx="0">
                  <c:v>2014-2020</c:v>
                </c:pt>
                <c:pt idx="1">
                  <c:v>2021-2027</c:v>
                </c:pt>
              </c:strCache>
            </c:strRef>
          </c:cat>
          <c:val>
            <c:numRef>
              <c:f>Arkusz1!$C$42:$D$42</c:f>
              <c:numCache>
                <c:formatCode>General</c:formatCode>
                <c:ptCount val="2"/>
                <c:pt idx="0">
                  <c:v>83.9</c:v>
                </c:pt>
                <c:pt idx="1">
                  <c:v>64.400000000000006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78-42E3-8C9D-701EA4437F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050176"/>
        <c:axId val="94052352"/>
      </c:barChart>
      <c:catAx>
        <c:axId val="94050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r>
                  <a:rPr lang="pl-PL" sz="1200" b="1">
                    <a:solidFill>
                      <a:srgbClr val="FF0000"/>
                    </a:solidFill>
                  </a:rPr>
                  <a:t>23%</a:t>
                </a:r>
              </a:p>
            </c:rich>
          </c:tx>
          <c:layout>
            <c:manualLayout>
              <c:xMode val="edge"/>
              <c:yMode val="edge"/>
              <c:x val="0.54650809273840772"/>
              <c:y val="0.1934951881014873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94052352"/>
        <c:crosses val="autoZero"/>
        <c:auto val="1"/>
        <c:lblAlgn val="ctr"/>
        <c:lblOffset val="100"/>
        <c:noMultiLvlLbl val="0"/>
      </c:catAx>
      <c:valAx>
        <c:axId val="94052352"/>
        <c:scaling>
          <c:orientation val="minMax"/>
          <c:min val="20"/>
        </c:scaling>
        <c:delete val="0"/>
        <c:axPos val="l"/>
        <c:majorGridlines>
          <c:spPr>
            <a:ln>
              <a:solidFill>
                <a:schemeClr val="accent1"/>
              </a:solidFill>
              <a:prstDash val="dash"/>
            </a:ln>
          </c:spPr>
        </c:majorGridlines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pl-PL" b="0"/>
                  <a:t>mld</a:t>
                </a:r>
                <a:r>
                  <a:rPr lang="pl-PL" b="0" baseline="0"/>
                  <a:t> Euro</a:t>
                </a:r>
                <a:endParaRPr lang="pl-PL" b="0"/>
              </a:p>
            </c:rich>
          </c:tx>
          <c:layout>
            <c:manualLayout>
              <c:xMode val="edge"/>
              <c:yMode val="edge"/>
              <c:x val="1.3319335083114611E-2"/>
              <c:y val="0.35578885972586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9405017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4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C01-4EEA-B54D-1B384D83DC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Sheet1!$B$41:$B$67</c:f>
              <c:strCache>
                <c:ptCount val="27"/>
                <c:pt idx="0">
                  <c:v>Francja</c:v>
                </c:pt>
                <c:pt idx="1">
                  <c:v>Niemcy</c:v>
                </c:pt>
                <c:pt idx="2">
                  <c:v>Hiszpania</c:v>
                </c:pt>
                <c:pt idx="3">
                  <c:v>Włochy</c:v>
                </c:pt>
                <c:pt idx="4">
                  <c:v>Polska</c:v>
                </c:pt>
                <c:pt idx="5">
                  <c:v>Grecja</c:v>
                </c:pt>
                <c:pt idx="6">
                  <c:v>Rumunia</c:v>
                </c:pt>
                <c:pt idx="7">
                  <c:v>Węgry</c:v>
                </c:pt>
                <c:pt idx="8">
                  <c:v>Irlandia</c:v>
                </c:pt>
                <c:pt idx="9">
                  <c:v>Dania</c:v>
                </c:pt>
                <c:pt idx="10">
                  <c:v>Czechy</c:v>
                </c:pt>
                <c:pt idx="11">
                  <c:v>Bułgaria</c:v>
                </c:pt>
                <c:pt idx="12">
                  <c:v>Holandia</c:v>
                </c:pt>
                <c:pt idx="13">
                  <c:v>Szwecja</c:v>
                </c:pt>
                <c:pt idx="14">
                  <c:v>Austria</c:v>
                </c:pt>
                <c:pt idx="15">
                  <c:v>Portugalia</c:v>
                </c:pt>
                <c:pt idx="16">
                  <c:v>Litwa</c:v>
                </c:pt>
                <c:pt idx="17">
                  <c:v>Finlandia</c:v>
                </c:pt>
                <c:pt idx="18">
                  <c:v>Belgia</c:v>
                </c:pt>
                <c:pt idx="19">
                  <c:v>Słowacja</c:v>
                </c:pt>
                <c:pt idx="20">
                  <c:v>Chorwacja</c:v>
                </c:pt>
                <c:pt idx="21">
                  <c:v>Łotwa</c:v>
                </c:pt>
                <c:pt idx="22">
                  <c:v>Estonia</c:v>
                </c:pt>
                <c:pt idx="23">
                  <c:v>Słowenia</c:v>
                </c:pt>
                <c:pt idx="24">
                  <c:v>Cypr</c:v>
                </c:pt>
                <c:pt idx="25">
                  <c:v>Luksemburg</c:v>
                </c:pt>
                <c:pt idx="26">
                  <c:v>Malta</c:v>
                </c:pt>
              </c:strCache>
            </c:strRef>
          </c:cat>
          <c:val>
            <c:numRef>
              <c:f>Sheet1!$D$41:$D$67</c:f>
              <c:numCache>
                <c:formatCode>#,##0</c:formatCode>
                <c:ptCount val="27"/>
                <c:pt idx="0">
                  <c:v>50.034500000000001</c:v>
                </c:pt>
                <c:pt idx="1">
                  <c:v>33.761800000000001</c:v>
                </c:pt>
                <c:pt idx="2">
                  <c:v>33.481399999999994</c:v>
                </c:pt>
                <c:pt idx="3">
                  <c:v>24.921299999999984</c:v>
                </c:pt>
                <c:pt idx="4">
                  <c:v>21.2392</c:v>
                </c:pt>
                <c:pt idx="5">
                  <c:v>14.2559</c:v>
                </c:pt>
                <c:pt idx="6">
                  <c:v>13.371800000000002</c:v>
                </c:pt>
                <c:pt idx="7">
                  <c:v>8.5383999999999993</c:v>
                </c:pt>
                <c:pt idx="8">
                  <c:v>8.1475999999999988</c:v>
                </c:pt>
                <c:pt idx="9">
                  <c:v>5.9228999999999985</c:v>
                </c:pt>
                <c:pt idx="10">
                  <c:v>5.8718999999999992</c:v>
                </c:pt>
                <c:pt idx="11">
                  <c:v>5.5524999999999975</c:v>
                </c:pt>
                <c:pt idx="12">
                  <c:v>4.9270999999999985</c:v>
                </c:pt>
                <c:pt idx="13">
                  <c:v>4.7124999999999995</c:v>
                </c:pt>
                <c:pt idx="14">
                  <c:v>4.6536999999999997</c:v>
                </c:pt>
                <c:pt idx="15">
                  <c:v>4.2143999999999995</c:v>
                </c:pt>
                <c:pt idx="16">
                  <c:v>3.7705000000000002</c:v>
                </c:pt>
                <c:pt idx="17">
                  <c:v>3.5670000000000002</c:v>
                </c:pt>
                <c:pt idx="18">
                  <c:v>3.3991999999999987</c:v>
                </c:pt>
                <c:pt idx="19">
                  <c:v>2.7534000000000001</c:v>
                </c:pt>
                <c:pt idx="20">
                  <c:v>2.4889999999999999</c:v>
                </c:pt>
                <c:pt idx="21">
                  <c:v>2.2186999999999997</c:v>
                </c:pt>
                <c:pt idx="22">
                  <c:v>1.2432999999999992</c:v>
                </c:pt>
                <c:pt idx="23">
                  <c:v>0.90339999999999998</c:v>
                </c:pt>
                <c:pt idx="24" formatCode="#,##0.0">
                  <c:v>0.32730000000000037</c:v>
                </c:pt>
                <c:pt idx="25" formatCode="#,##0.0">
                  <c:v>0.2249000000000001</c:v>
                </c:pt>
                <c:pt idx="26" formatCode="#,##0.0">
                  <c:v>3.1600000000000024E-2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01-4EEA-B54D-1B384D83DC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94094848"/>
        <c:axId val="94096384"/>
      </c:barChart>
      <c:catAx>
        <c:axId val="94094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pl-PL"/>
          </a:p>
        </c:txPr>
        <c:crossAx val="94096384"/>
        <c:crosses val="autoZero"/>
        <c:auto val="1"/>
        <c:lblAlgn val="ctr"/>
        <c:lblOffset val="100"/>
        <c:noMultiLvlLbl val="0"/>
      </c:catAx>
      <c:valAx>
        <c:axId val="940963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pl-PL"/>
          </a:p>
        </c:txPr>
        <c:crossAx val="9409484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C0504D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4691-402A-9448-B6408059E703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1">
                      <a:solidFill>
                        <a:schemeClr val="accent2">
                          <a:lumMod val="75000"/>
                        </a:schemeClr>
                      </a:solidFill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691-402A-9448-B6408059E7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Sheet1!$B$71:$B$97</c:f>
              <c:strCache>
                <c:ptCount val="27"/>
                <c:pt idx="0">
                  <c:v>Polska</c:v>
                </c:pt>
                <c:pt idx="1">
                  <c:v>Włochy</c:v>
                </c:pt>
                <c:pt idx="2">
                  <c:v>Francja</c:v>
                </c:pt>
                <c:pt idx="3">
                  <c:v>Hiszpania</c:v>
                </c:pt>
                <c:pt idx="4">
                  <c:v>Niemcy</c:v>
                </c:pt>
                <c:pt idx="5">
                  <c:v>Rumunia</c:v>
                </c:pt>
                <c:pt idx="6">
                  <c:v>Grecja</c:v>
                </c:pt>
                <c:pt idx="7">
                  <c:v>Portugalia</c:v>
                </c:pt>
                <c:pt idx="8">
                  <c:v>Austria</c:v>
                </c:pt>
                <c:pt idx="9">
                  <c:v>Węgry</c:v>
                </c:pt>
                <c:pt idx="10">
                  <c:v>Finlandia</c:v>
                </c:pt>
                <c:pt idx="11">
                  <c:v>Bułgaria</c:v>
                </c:pt>
                <c:pt idx="12">
                  <c:v>Chorwacja</c:v>
                </c:pt>
                <c:pt idx="13">
                  <c:v>Irlandia</c:v>
                </c:pt>
                <c:pt idx="14">
                  <c:v>Czechy</c:v>
                </c:pt>
                <c:pt idx="15">
                  <c:v>Słowacja</c:v>
                </c:pt>
                <c:pt idx="16">
                  <c:v>Szwecja</c:v>
                </c:pt>
                <c:pt idx="17">
                  <c:v>Litwa</c:v>
                </c:pt>
                <c:pt idx="18">
                  <c:v>Łotwa</c:v>
                </c:pt>
                <c:pt idx="19">
                  <c:v>Słowenia</c:v>
                </c:pt>
                <c:pt idx="20">
                  <c:v>Estonia</c:v>
                </c:pt>
                <c:pt idx="21">
                  <c:v>Dania</c:v>
                </c:pt>
                <c:pt idx="22">
                  <c:v>Holandia</c:v>
                </c:pt>
                <c:pt idx="23">
                  <c:v>Belgia</c:v>
                </c:pt>
                <c:pt idx="24">
                  <c:v>Cypr</c:v>
                </c:pt>
                <c:pt idx="25">
                  <c:v>Luksemburg</c:v>
                </c:pt>
                <c:pt idx="26">
                  <c:v>Malta</c:v>
                </c:pt>
              </c:strCache>
            </c:strRef>
          </c:cat>
          <c:val>
            <c:numRef>
              <c:f>Sheet1!$D$71:$D$97</c:f>
              <c:numCache>
                <c:formatCode>#,##0</c:formatCode>
                <c:ptCount val="27"/>
                <c:pt idx="0">
                  <c:v>9.225200000000001</c:v>
                </c:pt>
                <c:pt idx="1">
                  <c:v>8.8922000000000008</c:v>
                </c:pt>
                <c:pt idx="2">
                  <c:v>8.4648000000000021</c:v>
                </c:pt>
                <c:pt idx="3">
                  <c:v>7.0084</c:v>
                </c:pt>
                <c:pt idx="4">
                  <c:v>6.9295</c:v>
                </c:pt>
                <c:pt idx="5">
                  <c:v>6.7584999999999997</c:v>
                </c:pt>
                <c:pt idx="6">
                  <c:v>3.5670999999999999</c:v>
                </c:pt>
                <c:pt idx="7">
                  <c:v>3.4524999999999983</c:v>
                </c:pt>
                <c:pt idx="8">
                  <c:v>3.3633000000000002</c:v>
                </c:pt>
                <c:pt idx="9">
                  <c:v>2.9133999999999998</c:v>
                </c:pt>
                <c:pt idx="10">
                  <c:v>2.0440999999999998</c:v>
                </c:pt>
                <c:pt idx="11">
                  <c:v>1.9720000000000006</c:v>
                </c:pt>
                <c:pt idx="12">
                  <c:v>1.9694</c:v>
                </c:pt>
                <c:pt idx="13">
                  <c:v>1.8527</c:v>
                </c:pt>
                <c:pt idx="14">
                  <c:v>1.8113999999999995</c:v>
                </c:pt>
                <c:pt idx="15">
                  <c:v>1.5937999999999992</c:v>
                </c:pt>
                <c:pt idx="16">
                  <c:v>1.4808999999999994</c:v>
                </c:pt>
                <c:pt idx="17">
                  <c:v>1.3662999999999998</c:v>
                </c:pt>
                <c:pt idx="18">
                  <c:v>0.82120000000000004</c:v>
                </c:pt>
                <c:pt idx="19">
                  <c:v>0.71570000000000034</c:v>
                </c:pt>
                <c:pt idx="20">
                  <c:v>0.61510000000000031</c:v>
                </c:pt>
                <c:pt idx="21">
                  <c:v>0.53070000000000039</c:v>
                </c:pt>
                <c:pt idx="22">
                  <c:v>0.5121</c:v>
                </c:pt>
                <c:pt idx="23" formatCode="#,##0.0">
                  <c:v>0.47020000000000001</c:v>
                </c:pt>
                <c:pt idx="24" formatCode="#,##0.0">
                  <c:v>0.1119</c:v>
                </c:pt>
                <c:pt idx="25" formatCode="#,##0.0">
                  <c:v>8.6000000000000021E-2</c:v>
                </c:pt>
                <c:pt idx="26" formatCode="#,##0.0">
                  <c:v>8.5500000000000048E-2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91-402A-9448-B6408059E7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94265344"/>
        <c:axId val="94266880"/>
      </c:barChart>
      <c:catAx>
        <c:axId val="9426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pl-PL"/>
          </a:p>
        </c:txPr>
        <c:crossAx val="94266880"/>
        <c:crosses val="autoZero"/>
        <c:auto val="1"/>
        <c:lblAlgn val="ctr"/>
        <c:lblOffset val="100"/>
        <c:noMultiLvlLbl val="0"/>
      </c:catAx>
      <c:valAx>
        <c:axId val="9426688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pl-PL"/>
          </a:p>
        </c:txPr>
        <c:crossAx val="942653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0.47569</cdr:x>
      <cdr:y>0.18519</cdr:y>
    </cdr:from>
    <cdr:to>
      <cdr:x>0.62361</cdr:x>
      <cdr:y>0.3588</cdr:y>
    </cdr:to>
    <cdr:cxnSp macro="">
      <cdr:nvCxnSpPr>
        <cdr:cNvPr id="2" name="Łącznik prosty ze strzałką 1"/>
        <cdr:cNvCxnSpPr/>
      </cdr:nvCxnSpPr>
      <cdr:spPr>
        <a:xfrm xmlns:a="http://schemas.openxmlformats.org/drawingml/2006/main">
          <a:off x="2174875" y="508000"/>
          <a:ext cx="676290" cy="476247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FF0000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8153-5F58-4F01-AEB8-515E67B2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2756</Words>
  <Characters>16536</Characters>
  <Application>Microsoft Office Word</Application>
  <DocSecurity>0</DocSecurity>
  <Lines>137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SZKOTAK Andrzej</dc:creator>
  <cp:lastModifiedBy>Magdalena Kitkowska</cp:lastModifiedBy>
  <cp:revision>2</cp:revision>
  <cp:lastPrinted>2018-06-07T10:08:00Z</cp:lastPrinted>
  <dcterms:created xsi:type="dcterms:W3CDTF">2018-09-19T09:31:00Z</dcterms:created>
  <dcterms:modified xsi:type="dcterms:W3CDTF">2018-09-19T09:31:00Z</dcterms:modified>
</cp:coreProperties>
</file>