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062E8" w14:textId="644BE44B" w:rsidR="0017661E" w:rsidRDefault="0017661E" w:rsidP="0017661E">
      <w:pPr>
        <w:tabs>
          <w:tab w:val="left" w:pos="284"/>
        </w:tabs>
        <w:autoSpaceDE w:val="0"/>
        <w:autoSpaceDN w:val="0"/>
        <w:jc w:val="center"/>
        <w:rPr>
          <w:rFonts w:ascii="Arial" w:hAnsi="Arial" w:cs="Arial"/>
          <w:b/>
          <w:sz w:val="52"/>
          <w:szCs w:val="52"/>
        </w:rPr>
      </w:pPr>
    </w:p>
    <w:p w14:paraId="1F1F4430" w14:textId="77777777" w:rsidR="0017661E" w:rsidRDefault="0017661E" w:rsidP="0017661E">
      <w:pPr>
        <w:tabs>
          <w:tab w:val="left" w:pos="284"/>
        </w:tabs>
        <w:autoSpaceDE w:val="0"/>
        <w:autoSpaceDN w:val="0"/>
        <w:jc w:val="center"/>
        <w:rPr>
          <w:rFonts w:ascii="Arial" w:hAnsi="Arial" w:cs="Arial"/>
          <w:b/>
          <w:sz w:val="52"/>
          <w:szCs w:val="52"/>
        </w:rPr>
      </w:pPr>
    </w:p>
    <w:p w14:paraId="0D879A1E" w14:textId="77777777" w:rsidR="0017661E" w:rsidRDefault="0017661E" w:rsidP="0017661E">
      <w:pPr>
        <w:tabs>
          <w:tab w:val="left" w:pos="284"/>
        </w:tabs>
        <w:autoSpaceDE w:val="0"/>
        <w:autoSpaceDN w:val="0"/>
        <w:rPr>
          <w:rFonts w:ascii="Arial" w:hAnsi="Arial" w:cs="Arial"/>
          <w:b/>
          <w:sz w:val="52"/>
          <w:szCs w:val="52"/>
        </w:rPr>
      </w:pPr>
    </w:p>
    <w:p w14:paraId="2630189D" w14:textId="77777777" w:rsidR="0017661E" w:rsidRDefault="0017661E" w:rsidP="0017661E">
      <w:pPr>
        <w:tabs>
          <w:tab w:val="left" w:pos="284"/>
        </w:tabs>
        <w:autoSpaceDE w:val="0"/>
        <w:autoSpaceDN w:val="0"/>
        <w:jc w:val="center"/>
        <w:rPr>
          <w:rFonts w:ascii="Arial" w:hAnsi="Arial" w:cs="Arial"/>
          <w:b/>
          <w:sz w:val="52"/>
          <w:szCs w:val="52"/>
        </w:rPr>
      </w:pPr>
      <w:r w:rsidRPr="00BE5443">
        <w:rPr>
          <w:rFonts w:ascii="Arial" w:hAnsi="Arial" w:cs="Arial"/>
          <w:b/>
          <w:sz w:val="52"/>
          <w:szCs w:val="52"/>
        </w:rPr>
        <w:t xml:space="preserve">Podręcznik </w:t>
      </w:r>
      <w:r>
        <w:rPr>
          <w:rFonts w:ascii="Arial" w:hAnsi="Arial" w:cs="Arial"/>
          <w:b/>
          <w:sz w:val="52"/>
          <w:szCs w:val="52"/>
        </w:rPr>
        <w:t>kwalifikowalności kosztów p</w:t>
      </w:r>
      <w:r w:rsidRPr="00BE5443">
        <w:rPr>
          <w:rFonts w:ascii="Arial" w:hAnsi="Arial" w:cs="Arial"/>
          <w:b/>
          <w:sz w:val="52"/>
          <w:szCs w:val="52"/>
        </w:rPr>
        <w:t xml:space="preserve">omocy technicznej </w:t>
      </w:r>
      <w:r>
        <w:rPr>
          <w:rFonts w:ascii="Arial" w:hAnsi="Arial" w:cs="Arial"/>
          <w:b/>
          <w:sz w:val="52"/>
          <w:szCs w:val="52"/>
        </w:rPr>
        <w:br/>
        <w:t xml:space="preserve">w ramach </w:t>
      </w:r>
      <w:r w:rsidRPr="00BE5443">
        <w:rPr>
          <w:rFonts w:ascii="Arial" w:hAnsi="Arial" w:cs="Arial"/>
          <w:b/>
          <w:sz w:val="52"/>
          <w:szCs w:val="52"/>
        </w:rPr>
        <w:t>PROW 2014-2020</w:t>
      </w:r>
    </w:p>
    <w:p w14:paraId="1E2CFCDA" w14:textId="77777777" w:rsidR="0017661E" w:rsidRDefault="0017661E" w:rsidP="0017661E">
      <w:pPr>
        <w:tabs>
          <w:tab w:val="left" w:pos="284"/>
        </w:tabs>
        <w:autoSpaceDE w:val="0"/>
        <w:autoSpaceDN w:val="0"/>
        <w:spacing w:after="0"/>
        <w:rPr>
          <w:rFonts w:ascii="Arial" w:hAnsi="Arial" w:cs="Arial"/>
          <w:b/>
          <w:sz w:val="52"/>
          <w:szCs w:val="52"/>
        </w:rPr>
      </w:pPr>
    </w:p>
    <w:p w14:paraId="3EED0B6A" w14:textId="77777777" w:rsidR="001C1EB3" w:rsidRDefault="001C1EB3" w:rsidP="001C1EB3">
      <w:pPr>
        <w:ind w:left="360"/>
        <w:jc w:val="both"/>
        <w:rPr>
          <w:sz w:val="26"/>
          <w:szCs w:val="24"/>
        </w:rPr>
      </w:pPr>
    </w:p>
    <w:p w14:paraId="26DBC1A5" w14:textId="77777777" w:rsidR="001C1EB3" w:rsidRDefault="001C1EB3" w:rsidP="001C1EB3">
      <w:pPr>
        <w:jc w:val="both"/>
        <w:rPr>
          <w:sz w:val="26"/>
          <w:szCs w:val="24"/>
        </w:rPr>
      </w:pPr>
    </w:p>
    <w:tbl>
      <w:tblPr>
        <w:tblW w:w="0" w:type="auto"/>
        <w:tblInd w:w="-11" w:type="dxa"/>
        <w:tblLook w:val="04A0" w:firstRow="1" w:lastRow="0" w:firstColumn="1" w:lastColumn="0" w:noHBand="0" w:noVBand="1"/>
      </w:tblPr>
      <w:tblGrid>
        <w:gridCol w:w="2188"/>
        <w:gridCol w:w="2017"/>
        <w:gridCol w:w="2628"/>
        <w:gridCol w:w="2107"/>
      </w:tblGrid>
      <w:tr w:rsidR="001C1EB3" w:rsidRPr="00D568E4" w14:paraId="60B014C3" w14:textId="77777777" w:rsidTr="001C1EB3">
        <w:trPr>
          <w:trHeight w:val="3473"/>
        </w:trPr>
        <w:tc>
          <w:tcPr>
            <w:tcW w:w="2310" w:type="dxa"/>
            <w:shd w:val="clear" w:color="auto" w:fill="auto"/>
          </w:tcPr>
          <w:p w14:paraId="57A08C24" w14:textId="77777777" w:rsidR="001C1EB3" w:rsidRPr="00D568E4" w:rsidRDefault="001C1EB3" w:rsidP="00901DA6">
            <w:pPr>
              <w:pStyle w:val="Nagwek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037C8" wp14:editId="1498D41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6350</wp:posOffset>
                  </wp:positionV>
                  <wp:extent cx="730250" cy="486410"/>
                  <wp:effectExtent l="19050" t="0" r="0" b="0"/>
                  <wp:wrapSquare wrapText="bothSides"/>
                  <wp:docPr id="17" name="Obraz 17" descr="Flaga%20U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Flaga%20U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1" w:type="dxa"/>
            <w:shd w:val="clear" w:color="auto" w:fill="auto"/>
          </w:tcPr>
          <w:p w14:paraId="452D1992" w14:textId="77777777" w:rsidR="001C1EB3" w:rsidRPr="00D568E4" w:rsidRDefault="001C1EB3" w:rsidP="00901DA6">
            <w:pPr>
              <w:pStyle w:val="Nagwek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0D476E" wp14:editId="067A0EF9">
                  <wp:extent cx="508958" cy="498078"/>
                  <wp:effectExtent l="0" t="0" r="571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65" cy="49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shd w:val="clear" w:color="auto" w:fill="auto"/>
          </w:tcPr>
          <w:p w14:paraId="6E3ABD5E" w14:textId="77777777" w:rsidR="001C1EB3" w:rsidRPr="00D568E4" w:rsidRDefault="001C1EB3" w:rsidP="00901DA6">
            <w:pPr>
              <w:pStyle w:val="Nagwek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9D08ED" wp14:editId="0A6C34DB">
                  <wp:extent cx="1486453" cy="576884"/>
                  <wp:effectExtent l="19050" t="0" r="0" b="0"/>
                  <wp:docPr id="5" name="Obraz 19" descr="C:\Users\iszczesn\Desktop\IWONA_2014-2020\Wizualizacja\LOGOTYPY\logo KSOW\KSOW_tekst_transparen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C:\Users\iszczesn\Desktop\IWONA_2014-2020\Wizualizacja\LOGOTYPY\logo KSOW\KSOW_tekst_transparen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472" cy="58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FBC5A" w14:textId="77777777" w:rsidR="001C1EB3" w:rsidRPr="00D568E4" w:rsidRDefault="001C1EB3" w:rsidP="00901DA6">
            <w:pPr>
              <w:pStyle w:val="Nagwek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6569B69D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347758" wp14:editId="1BD3573E">
                  <wp:extent cx="897147" cy="581551"/>
                  <wp:effectExtent l="0" t="0" r="0" b="9525"/>
                  <wp:docPr id="20" name="Obraz 20" descr="C:\Users\iszczesn\Desktop\IWONA_2014-2020\Wizualizacja\LOGOTYPY\logo PROW 2014-2020\logo PROW 2014-2020 - pliki\kolor\PROW-2014-2020-logo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iszczesn\Desktop\IWONA_2014-2020\Wizualizacja\LOGOTYPY\logo PROW 2014-2020\logo PROW 2014-2020 - pliki\kolor\PROW-2014-2020-logo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33" cy="58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F90C9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</w:p>
          <w:p w14:paraId="55B22A23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</w:p>
          <w:p w14:paraId="2F07669E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</w:p>
          <w:p w14:paraId="49F89670" w14:textId="77777777" w:rsidR="001C1EB3" w:rsidRPr="00D568E4" w:rsidRDefault="001C1EB3" w:rsidP="001C1EB3">
            <w:pPr>
              <w:pStyle w:val="Nagwek"/>
              <w:rPr>
                <w:noProof/>
                <w:sz w:val="24"/>
                <w:szCs w:val="24"/>
              </w:rPr>
            </w:pPr>
          </w:p>
        </w:tc>
      </w:tr>
    </w:tbl>
    <w:p w14:paraId="5E196104" w14:textId="578E853E" w:rsidR="0017661E" w:rsidRPr="00456A38" w:rsidRDefault="0017661E" w:rsidP="007C509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38">
        <w:rPr>
          <w:rFonts w:ascii="Times New Roman" w:hAnsi="Times New Roman" w:cs="Times New Roman"/>
          <w:sz w:val="24"/>
          <w:szCs w:val="24"/>
        </w:rPr>
        <w:t xml:space="preserve">„Europejski Fundusz Rolny na rzecz Rozwoju Obszarów Wiejskich: Europa inwestująca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456A38">
        <w:rPr>
          <w:rFonts w:ascii="Times New Roman" w:hAnsi="Times New Roman" w:cs="Times New Roman"/>
          <w:sz w:val="24"/>
          <w:szCs w:val="24"/>
        </w:rPr>
        <w:t>w obszary wiejskie”.</w:t>
      </w:r>
    </w:p>
    <w:p w14:paraId="0EABD10A" w14:textId="77777777" w:rsidR="0017661E" w:rsidRPr="00456A38" w:rsidRDefault="0017661E" w:rsidP="000D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38">
        <w:rPr>
          <w:rFonts w:ascii="Times New Roman" w:hAnsi="Times New Roman" w:cs="Times New Roman"/>
          <w:sz w:val="24"/>
          <w:szCs w:val="24"/>
        </w:rPr>
        <w:t>Materiał opracowany przez Ministerstwo Rolnictwa i Rozwoju Wsi.</w:t>
      </w:r>
    </w:p>
    <w:p w14:paraId="707F2666" w14:textId="77777777" w:rsidR="0017661E" w:rsidRPr="00456A38" w:rsidRDefault="0017661E" w:rsidP="000D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38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2014-2020 – Minister Rolnictwa i Rozwoju Wsi</w:t>
      </w:r>
    </w:p>
    <w:p w14:paraId="58F118FB" w14:textId="77777777" w:rsidR="0017661E" w:rsidRPr="00456A38" w:rsidRDefault="0017661E" w:rsidP="000D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82DD3" w14:textId="77777777" w:rsidR="0017661E" w:rsidRPr="00456A38" w:rsidRDefault="0017661E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2CCEC" w14:textId="77777777" w:rsidR="0017661E" w:rsidRPr="00456A38" w:rsidRDefault="0017661E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4855" w14:textId="24684482" w:rsidR="0017661E" w:rsidRPr="00456A38" w:rsidRDefault="007C5099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CFD37A" w14:textId="77777777" w:rsidR="0017661E" w:rsidRDefault="0017661E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0A6B1" w14:textId="77777777" w:rsidR="007C5099" w:rsidRPr="00456A38" w:rsidRDefault="007C5099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B70F" w14:textId="1EE077FF" w:rsidR="0017661E" w:rsidRPr="00456A38" w:rsidRDefault="0017661E" w:rsidP="0017661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</w:t>
      </w:r>
      <w:r w:rsidR="00A5758A">
        <w:rPr>
          <w:rFonts w:ascii="Times New Roman" w:hAnsi="Times New Roman" w:cs="Times New Roman"/>
          <w:sz w:val="24"/>
          <w:szCs w:val="24"/>
        </w:rPr>
        <w:t xml:space="preserve"> </w:t>
      </w:r>
      <w:r w:rsidR="00F257F6">
        <w:rPr>
          <w:rFonts w:ascii="Times New Roman" w:hAnsi="Times New Roman" w:cs="Times New Roman"/>
          <w:sz w:val="24"/>
          <w:szCs w:val="24"/>
        </w:rPr>
        <w:t>11</w:t>
      </w:r>
      <w:r w:rsidR="0091652A">
        <w:rPr>
          <w:rFonts w:ascii="Times New Roman" w:hAnsi="Times New Roman" w:cs="Times New Roman"/>
          <w:sz w:val="24"/>
          <w:szCs w:val="24"/>
        </w:rPr>
        <w:t xml:space="preserve"> </w:t>
      </w:r>
      <w:r w:rsidR="00E546D4">
        <w:rPr>
          <w:rFonts w:ascii="Times New Roman" w:hAnsi="Times New Roman" w:cs="Times New Roman"/>
          <w:sz w:val="24"/>
          <w:szCs w:val="24"/>
        </w:rPr>
        <w:t>czerwca</w:t>
      </w:r>
      <w:r w:rsidR="004838B9">
        <w:rPr>
          <w:rFonts w:ascii="Times New Roman" w:hAnsi="Times New Roman" w:cs="Times New Roman"/>
          <w:sz w:val="24"/>
          <w:szCs w:val="24"/>
        </w:rPr>
        <w:t xml:space="preserve"> 2019</w:t>
      </w:r>
      <w:r w:rsidR="00AE00D4">
        <w:rPr>
          <w:rFonts w:ascii="Times New Roman" w:hAnsi="Times New Roman" w:cs="Times New Roman"/>
          <w:sz w:val="24"/>
          <w:szCs w:val="24"/>
        </w:rPr>
        <w:t xml:space="preserve"> </w:t>
      </w:r>
      <w:r w:rsidR="00B27F95">
        <w:rPr>
          <w:rFonts w:ascii="Times New Roman" w:hAnsi="Times New Roman" w:cs="Times New Roman"/>
          <w:sz w:val="24"/>
          <w:szCs w:val="24"/>
        </w:rPr>
        <w:t xml:space="preserve"> r.</w:t>
      </w:r>
      <w:r w:rsidRPr="00456A38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515566927"/>
        <w:docPartObj>
          <w:docPartGallery w:val="Table of Contents"/>
          <w:docPartUnique/>
        </w:docPartObj>
      </w:sdtPr>
      <w:sdtEndPr/>
      <w:sdtContent>
        <w:p w14:paraId="73767D5B" w14:textId="77777777" w:rsidR="001177CA" w:rsidRPr="00BF2E3D" w:rsidRDefault="001177CA">
          <w:pPr>
            <w:pStyle w:val="Nagwekspisutreci"/>
            <w:rPr>
              <w:color w:val="auto"/>
            </w:rPr>
          </w:pPr>
          <w:r w:rsidRPr="00BF2E3D">
            <w:rPr>
              <w:color w:val="auto"/>
            </w:rPr>
            <w:t>Spis treści</w:t>
          </w:r>
        </w:p>
        <w:p w14:paraId="318CA652" w14:textId="3B7F9A2C" w:rsidR="008D727E" w:rsidRDefault="00494B9F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184EB8">
            <w:rPr>
              <w:i w:val="0"/>
            </w:rPr>
            <w:fldChar w:fldCharType="begin"/>
          </w:r>
          <w:r w:rsidR="001177CA" w:rsidRPr="00184EB8">
            <w:rPr>
              <w:i w:val="0"/>
            </w:rPr>
            <w:instrText xml:space="preserve"> TOC \o "1-3" \h \z \u </w:instrText>
          </w:r>
          <w:r w:rsidRPr="00184EB8">
            <w:rPr>
              <w:i w:val="0"/>
            </w:rPr>
            <w:fldChar w:fldCharType="separate"/>
          </w:r>
          <w:hyperlink w:anchor="_Toc10788485" w:history="1">
            <w:r w:rsidR="008D727E" w:rsidRPr="00984326">
              <w:rPr>
                <w:rStyle w:val="Hipercze"/>
                <w:noProof/>
              </w:rPr>
              <w:t>I  Wykaz pojęć i skrótów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_Toc10788485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3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7BD573DF" w14:textId="468C5F0C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6" w:history="1">
            <w:r w:rsidR="008D727E" w:rsidRPr="00984326">
              <w:rPr>
                <w:rStyle w:val="Hipercze"/>
                <w:noProof/>
              </w:rPr>
              <w:t>II Podstawowe warunki dotyczące kwalifikowalności kosztów w ramach PT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_Toc10788486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5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46CB3B48" w14:textId="00DD984D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7" w:history="1">
            <w:r w:rsidR="008D727E" w:rsidRPr="00984326">
              <w:rPr>
                <w:rStyle w:val="Hipercze"/>
                <w:noProof/>
              </w:rPr>
              <w:t>III Typy działań możliwych do sfinansowania z pomocy technicznej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_Toc10788487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6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7DAE0A00" w14:textId="3C1763FA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8" w:history="1">
            <w:r w:rsidR="008D727E" w:rsidRPr="00984326">
              <w:rPr>
                <w:rStyle w:val="Hipercze"/>
                <w:noProof/>
              </w:rPr>
              <w:t>IV Koszty podlegające refundacji w ramach schematu I  oraz schematu  II (w zakresie wsparcia funkcjonowania krajowej sieci obszarów wiejskich)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_Toc10788488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8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18C2A1D5" w14:textId="415F8B7C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9" w:history="1">
            <w:r w:rsidR="008D727E" w:rsidRPr="00984326">
              <w:rPr>
                <w:rStyle w:val="Hipercze"/>
                <w:noProof/>
              </w:rPr>
              <w:t>V Koszty podlegające refundacji w ramach schematu II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_Toc10788489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19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7DC7175B" w14:textId="31323EEA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0" w:history="1">
            <w:r w:rsidR="008D727E" w:rsidRPr="00984326">
              <w:rPr>
                <w:rStyle w:val="Hipercze"/>
                <w:noProof/>
              </w:rPr>
              <w:t>VI Podział finansowania poszczególnych kosztów pomiędzy schematami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_Toc10788490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28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59D7F9FD" w14:textId="1314004D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1" w:history="1">
            <w:r w:rsidR="008D727E" w:rsidRPr="00984326">
              <w:rPr>
                <w:rStyle w:val="Hipercze"/>
                <w:noProof/>
              </w:rPr>
              <w:t>VII Koszty niekwalifikowalne w ramach PT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_Toc10788491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28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4D9E4988" w14:textId="49BCC150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2" w:history="1">
            <w:r w:rsidR="008D727E" w:rsidRPr="00984326">
              <w:rPr>
                <w:rStyle w:val="Hipercze"/>
                <w:noProof/>
              </w:rPr>
              <w:t>VIII Stosowanie trybów wyboru wykonawcy określonych w ustawie PZP i konkurencyjnego trybu wyboru wykonawców określonego w ustawie ROW przy realizacji operacji finansowanych z pomocy technicznej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_Toc10788492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31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4C77D274" w14:textId="61BB0147" w:rsidR="008D727E" w:rsidRDefault="00ED5CAE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3" w:history="1">
            <w:r w:rsidR="008D727E" w:rsidRPr="00984326">
              <w:rPr>
                <w:rStyle w:val="Hipercze"/>
                <w:noProof/>
              </w:rPr>
              <w:t>IX  Przykładowe opinie wydane przez IZ odnośnie do finansowania wydatków w ramach PT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_Toc10788493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32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250C389F" w14:textId="2FFF45CE" w:rsidR="001177CA" w:rsidRPr="00184EB8" w:rsidRDefault="00494B9F">
          <w:r w:rsidRPr="00184EB8">
            <w:rPr>
              <w:b/>
              <w:bCs/>
            </w:rPr>
            <w:fldChar w:fldCharType="end"/>
          </w:r>
        </w:p>
      </w:sdtContent>
    </w:sdt>
    <w:p w14:paraId="60E4E56B" w14:textId="77777777" w:rsidR="005D05EA" w:rsidRDefault="00494B9F" w:rsidP="005D05EA">
      <w:pPr>
        <w:pStyle w:val="Spistreci1"/>
        <w:tabs>
          <w:tab w:val="right" w:leader="dot" w:pos="9062"/>
        </w:tabs>
        <w:rPr>
          <w:rFonts w:eastAsia="Times New Roman"/>
          <w:b w:val="0"/>
          <w:bCs w:val="0"/>
          <w:i w:val="0"/>
          <w:iCs w:val="0"/>
          <w:noProof/>
        </w:rPr>
      </w:pPr>
      <w:r w:rsidRPr="007539E6">
        <w:rPr>
          <w:i w:val="0"/>
          <w:iCs w:val="0"/>
          <w:sz w:val="22"/>
          <w:szCs w:val="22"/>
        </w:rPr>
        <w:fldChar w:fldCharType="begin"/>
      </w:r>
      <w:r w:rsidR="005D05EA" w:rsidRPr="007539E6">
        <w:rPr>
          <w:i w:val="0"/>
          <w:iCs w:val="0"/>
          <w:sz w:val="22"/>
          <w:szCs w:val="22"/>
        </w:rPr>
        <w:instrText xml:space="preserve"> TOC \o "1-2" \h \z \u </w:instrText>
      </w:r>
      <w:r w:rsidRPr="007539E6">
        <w:rPr>
          <w:i w:val="0"/>
          <w:iCs w:val="0"/>
          <w:sz w:val="22"/>
          <w:szCs w:val="22"/>
        </w:rPr>
        <w:fldChar w:fldCharType="separate"/>
      </w:r>
    </w:p>
    <w:p w14:paraId="48421E2A" w14:textId="77777777" w:rsidR="005D05EA" w:rsidRDefault="005D05EA" w:rsidP="005D05EA">
      <w:pPr>
        <w:pStyle w:val="Spistreci2"/>
        <w:tabs>
          <w:tab w:val="left" w:pos="960"/>
        </w:tabs>
        <w:ind w:left="0"/>
      </w:pPr>
    </w:p>
    <w:p w14:paraId="2B8BFCC9" w14:textId="77777777" w:rsidR="007A4C46" w:rsidRDefault="007A4C46" w:rsidP="007A4C46"/>
    <w:p w14:paraId="346D8875" w14:textId="77777777" w:rsidR="007A4C46" w:rsidRDefault="007A4C46" w:rsidP="007A4C46"/>
    <w:p w14:paraId="6918B762" w14:textId="77777777" w:rsidR="007A4C46" w:rsidRDefault="007A4C46" w:rsidP="007A4C46">
      <w:bookmarkStart w:id="0" w:name="_GoBack"/>
      <w:bookmarkEnd w:id="0"/>
    </w:p>
    <w:p w14:paraId="7440245B" w14:textId="77777777" w:rsidR="007A4C46" w:rsidRDefault="007A4C46" w:rsidP="007A4C46"/>
    <w:p w14:paraId="5BBFBDA1" w14:textId="77777777" w:rsidR="007A4C46" w:rsidRDefault="007A4C46" w:rsidP="007A4C46"/>
    <w:p w14:paraId="65DAAC04" w14:textId="77777777" w:rsidR="007A4C46" w:rsidRDefault="007A4C46" w:rsidP="007A4C46"/>
    <w:p w14:paraId="11061030" w14:textId="77777777" w:rsidR="007A4C46" w:rsidRDefault="007A4C46" w:rsidP="007A4C46"/>
    <w:p w14:paraId="30A7C925" w14:textId="77777777" w:rsidR="007A4C46" w:rsidRPr="007A4C46" w:rsidRDefault="007A4C46" w:rsidP="007A4C46"/>
    <w:p w14:paraId="2FDC63C3" w14:textId="77777777" w:rsidR="00EA73BF" w:rsidRPr="00456A38" w:rsidRDefault="00494B9F" w:rsidP="005D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E6">
        <w:rPr>
          <w:i/>
          <w:iCs/>
        </w:rPr>
        <w:fldChar w:fldCharType="end"/>
      </w:r>
    </w:p>
    <w:p w14:paraId="34EC0915" w14:textId="77777777" w:rsidR="00EA73BF" w:rsidRDefault="00EA73BF" w:rsidP="00EA7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252AEA" w14:textId="77777777" w:rsidR="00CA755F" w:rsidRDefault="00CA755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52EC4D5D" w14:textId="4CF390BF" w:rsidR="00EA73BF" w:rsidRPr="00D60E97" w:rsidRDefault="007A4C46" w:rsidP="007A4C46">
      <w:pPr>
        <w:pStyle w:val="Nagwek1"/>
        <w:rPr>
          <w:rFonts w:ascii="Times New Roman" w:hAnsi="Times New Roman"/>
          <w:color w:val="auto"/>
        </w:rPr>
      </w:pPr>
      <w:bookmarkStart w:id="1" w:name="_Toc10788485"/>
      <w:r w:rsidRPr="00161F89">
        <w:rPr>
          <w:color w:val="auto"/>
        </w:rPr>
        <w:lastRenderedPageBreak/>
        <w:t xml:space="preserve">I </w:t>
      </w:r>
      <w:r w:rsidR="0068345C">
        <w:rPr>
          <w:color w:val="auto"/>
        </w:rPr>
        <w:t xml:space="preserve"> </w:t>
      </w:r>
      <w:r w:rsidR="00EA73BF" w:rsidRPr="00D60E97">
        <w:rPr>
          <w:rFonts w:ascii="Times New Roman" w:hAnsi="Times New Roman"/>
          <w:color w:val="auto"/>
        </w:rPr>
        <w:t>Wykaz pojęć i skrótó</w:t>
      </w:r>
      <w:r w:rsidR="004838B9">
        <w:rPr>
          <w:rFonts w:ascii="Times New Roman" w:hAnsi="Times New Roman"/>
          <w:color w:val="auto"/>
        </w:rPr>
        <w:t>w</w:t>
      </w:r>
      <w:bookmarkEnd w:id="1"/>
    </w:p>
    <w:p w14:paraId="4E60DA60" w14:textId="77777777" w:rsidR="00EA73BF" w:rsidRPr="00161F89" w:rsidRDefault="00EA73BF" w:rsidP="00EA7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286C7509" w14:textId="2AF84D25" w:rsidR="00184EB8" w:rsidRPr="00E52168" w:rsidRDefault="00EA73BF" w:rsidP="009400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bCs/>
          <w:sz w:val="24"/>
          <w:szCs w:val="24"/>
        </w:rPr>
        <w:t xml:space="preserve">rozporządzenie ramowe </w:t>
      </w:r>
      <w:r w:rsidR="00EC5FF1" w:rsidRPr="00E521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52168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E52168">
        <w:rPr>
          <w:rFonts w:ascii="Times New Roman" w:hAnsi="Times New Roman" w:cs="Times New Roman"/>
          <w:sz w:val="24"/>
          <w:szCs w:val="24"/>
        </w:rPr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 Europejskiego Funduszu Społecznego, Funduszu Spójności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E52168">
        <w:rPr>
          <w:rFonts w:ascii="Times New Roman" w:hAnsi="Times New Roman" w:cs="Times New Roman"/>
          <w:sz w:val="24"/>
          <w:szCs w:val="24"/>
        </w:rPr>
        <w:t xml:space="preserve">i Europejskiego Funduszu Morskiego i Rybackiego oraz uchylające rozporządzenie Rady (WE) nr 1083/2006 (Dz. Urz. UE L 347 z 20.12.2013, str. 320 z </w:t>
      </w:r>
      <w:proofErr w:type="spellStart"/>
      <w:r w:rsidRPr="00E521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2168">
        <w:rPr>
          <w:rFonts w:ascii="Times New Roman" w:hAnsi="Times New Roman" w:cs="Times New Roman"/>
          <w:sz w:val="24"/>
          <w:szCs w:val="24"/>
        </w:rPr>
        <w:t>. zm.);</w:t>
      </w:r>
    </w:p>
    <w:p w14:paraId="2C1A24A8" w14:textId="06D3701A" w:rsidR="000A6341" w:rsidRPr="00E52168" w:rsidRDefault="000A6341" w:rsidP="009400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r</w:t>
      </w:r>
      <w:r w:rsidRPr="00E52168">
        <w:rPr>
          <w:rFonts w:ascii="Times New Roman" w:eastAsia="Times New Roman" w:hAnsi="Times New Roman" w:cs="Times New Roman"/>
          <w:sz w:val="24"/>
          <w:szCs w:val="24"/>
        </w:rPr>
        <w:t xml:space="preserve">ozporządzenie nr 1305/2013 – rozporządzenie </w:t>
      </w:r>
      <w:r w:rsidRPr="00E52168">
        <w:rPr>
          <w:rFonts w:ascii="Times New Roman" w:hAnsi="Times New Roman" w:cs="Times New Roman"/>
          <w:sz w:val="24"/>
          <w:szCs w:val="24"/>
        </w:rPr>
        <w:t xml:space="preserve">Parlamentu Europejskiego i Rady (UE) nr 1305/2013 z dnia 17 grudnia 2013 r. w </w:t>
      </w:r>
      <w:r w:rsidRPr="00E52168">
        <w:rPr>
          <w:rFonts w:ascii="Times New Roman" w:hAnsi="Times New Roman" w:cs="Times New Roman"/>
          <w:bCs/>
          <w:sz w:val="24"/>
          <w:szCs w:val="24"/>
        </w:rPr>
        <w:t xml:space="preserve">sprawie wsparcia rozwoju obszarów wiejskich przez Europejski Fundusz Rolny na rzecz Rozwoju Obszarów Wiejskich (EFRROW) </w:t>
      </w:r>
      <w:r w:rsidR="008A572D">
        <w:rPr>
          <w:rFonts w:ascii="Times New Roman" w:hAnsi="Times New Roman" w:cs="Times New Roman"/>
          <w:bCs/>
          <w:sz w:val="24"/>
          <w:szCs w:val="24"/>
        </w:rPr>
        <w:br/>
      </w:r>
      <w:r w:rsidRPr="00E52168">
        <w:rPr>
          <w:rFonts w:ascii="Times New Roman" w:hAnsi="Times New Roman" w:cs="Times New Roman"/>
          <w:bCs/>
          <w:sz w:val="24"/>
          <w:szCs w:val="24"/>
        </w:rPr>
        <w:t xml:space="preserve">i uchylające rozporządzenie Rady (WE) nr 1698/2005 </w:t>
      </w:r>
      <w:r w:rsidRPr="00E52168">
        <w:rPr>
          <w:rFonts w:ascii="Times New Roman" w:hAnsi="Times New Roman" w:cs="Times New Roman"/>
          <w:sz w:val="24"/>
          <w:szCs w:val="24"/>
        </w:rPr>
        <w:t xml:space="preserve">(Dz. Urz. UE L 347 z 20.12.2013, str. 487, z </w:t>
      </w:r>
      <w:proofErr w:type="spellStart"/>
      <w:r w:rsidRPr="00E521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2168">
        <w:rPr>
          <w:rFonts w:ascii="Times New Roman" w:hAnsi="Times New Roman" w:cs="Times New Roman"/>
          <w:sz w:val="24"/>
          <w:szCs w:val="24"/>
        </w:rPr>
        <w:t>. zm.)</w:t>
      </w:r>
      <w:r w:rsidRPr="00E521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4DD0AA" w14:textId="42EBC7C4" w:rsidR="004B09F1" w:rsidRPr="00E52168" w:rsidRDefault="004B09F1" w:rsidP="00E35E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Program –</w:t>
      </w:r>
      <w:r w:rsidR="00E35EFC" w:rsidRPr="00E52168">
        <w:rPr>
          <w:rFonts w:ascii="Times New Roman" w:hAnsi="Times New Roman" w:cs="Times New Roman"/>
          <w:sz w:val="24"/>
          <w:szCs w:val="24"/>
        </w:rPr>
        <w:t xml:space="preserve"> </w:t>
      </w:r>
      <w:r w:rsidRPr="00E52168">
        <w:rPr>
          <w:rFonts w:ascii="Times New Roman" w:hAnsi="Times New Roman" w:cs="Times New Roman"/>
          <w:sz w:val="24"/>
          <w:szCs w:val="24"/>
        </w:rPr>
        <w:t>zatwierdzony w dniu 12 grudnia 2014 r. decyzją wykonawczą Komisji Europejskiej nr C(2014) 9783 Program Rozwoju Obszarów Wiejskich na lata 2014-2020 dla Polski do celów wsparcia w ramach Europejskiego Funduszu Rolnego na rz</w:t>
      </w:r>
      <w:r w:rsidR="00E35EFC" w:rsidRPr="00E52168">
        <w:rPr>
          <w:rFonts w:ascii="Times New Roman" w:hAnsi="Times New Roman" w:cs="Times New Roman"/>
          <w:sz w:val="24"/>
          <w:szCs w:val="24"/>
        </w:rPr>
        <w:t>ecz Rozwoju Obszarów Wiejskich, którego a</w:t>
      </w:r>
      <w:r w:rsidRPr="00E52168">
        <w:rPr>
          <w:rFonts w:ascii="Times New Roman" w:hAnsi="Times New Roman" w:cs="Times New Roman"/>
          <w:sz w:val="24"/>
          <w:szCs w:val="24"/>
        </w:rPr>
        <w:t>ktualna wersja została zamieszczona na stronie intern</w:t>
      </w:r>
      <w:r w:rsidR="00BB5758" w:rsidRPr="00E52168">
        <w:rPr>
          <w:rFonts w:ascii="Times New Roman" w:hAnsi="Times New Roman" w:cs="Times New Roman"/>
          <w:sz w:val="24"/>
          <w:szCs w:val="24"/>
        </w:rPr>
        <w:t xml:space="preserve">etowej </w:t>
      </w:r>
      <w:r w:rsidR="00E35EFC" w:rsidRPr="00E52168">
        <w:rPr>
          <w:rFonts w:ascii="Times New Roman" w:hAnsi="Times New Roman" w:cs="Times New Roman"/>
          <w:sz w:val="24"/>
          <w:szCs w:val="24"/>
        </w:rPr>
        <w:t>https://www.gov.pl/web/rolnictwo/-program-rozwoju-obszarow-wiejskich-2014-2020-prow-2014-2020</w:t>
      </w:r>
      <w:r w:rsidR="00C4528A">
        <w:rPr>
          <w:rFonts w:ascii="Times New Roman" w:hAnsi="Times New Roman" w:cs="Times New Roman"/>
          <w:sz w:val="24"/>
          <w:szCs w:val="24"/>
        </w:rPr>
        <w:t>;</w:t>
      </w:r>
    </w:p>
    <w:p w14:paraId="64D20309" w14:textId="6F6744C4" w:rsidR="00EA73BF" w:rsidRPr="0072381F" w:rsidRDefault="00EA73BF" w:rsidP="00602FCD">
      <w:pPr>
        <w:pStyle w:val="Default"/>
        <w:numPr>
          <w:ilvl w:val="0"/>
          <w:numId w:val="1"/>
        </w:numPr>
        <w:spacing w:before="60" w:after="60" w:line="276" w:lineRule="auto"/>
        <w:jc w:val="both"/>
      </w:pPr>
      <w:r w:rsidRPr="007370D1">
        <w:t xml:space="preserve">ustawa ROW </w:t>
      </w:r>
      <w:r w:rsidR="00EC5FF1" w:rsidRPr="007370D1">
        <w:t>–</w:t>
      </w:r>
      <w:r w:rsidRPr="007370D1">
        <w:t xml:space="preserve"> ustawa z dnia 20 lutego 2015 r. o wspieraniu rozwoju obszarów wiejskich z udziałem środków Europejskiego Funduszu Rolnego na rzecz Rozwoju Obszarów Wiejskich w ramach Pro</w:t>
      </w:r>
      <w:r w:rsidRPr="0072381F">
        <w:t xml:space="preserve">gramu Rozwoju Obszarów Wiejskich na lata 2014–2020 </w:t>
      </w:r>
      <w:r w:rsidR="00415527">
        <w:br/>
      </w:r>
      <w:r w:rsidRPr="0072381F">
        <w:t xml:space="preserve">(Dz. U. z </w:t>
      </w:r>
      <w:r w:rsidR="0012035E" w:rsidRPr="0072381F">
        <w:t xml:space="preserve">2018 </w:t>
      </w:r>
      <w:r w:rsidRPr="0072381F">
        <w:t xml:space="preserve">r. poz. </w:t>
      </w:r>
      <w:r w:rsidR="0012035E" w:rsidRPr="0072381F">
        <w:t>627</w:t>
      </w:r>
      <w:r w:rsidR="001F6F8E" w:rsidRPr="0072381F">
        <w:t xml:space="preserve">, z </w:t>
      </w:r>
      <w:proofErr w:type="spellStart"/>
      <w:r w:rsidR="001F6F8E" w:rsidRPr="0072381F">
        <w:t>późn</w:t>
      </w:r>
      <w:proofErr w:type="spellEnd"/>
      <w:r w:rsidR="001F6F8E" w:rsidRPr="0072381F">
        <w:t>. zm.</w:t>
      </w:r>
      <w:r w:rsidRPr="0072381F">
        <w:t>);</w:t>
      </w:r>
    </w:p>
    <w:p w14:paraId="67CB5067" w14:textId="6E7B8563" w:rsidR="00EA73BF" w:rsidRPr="00BC7E35" w:rsidRDefault="00EA73BF" w:rsidP="00BC7E35">
      <w:pPr>
        <w:numPr>
          <w:ilvl w:val="0"/>
          <w:numId w:val="1"/>
        </w:numPr>
        <w:spacing w:beforeLines="60"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BC7E35">
        <w:rPr>
          <w:rFonts w:ascii="Times New Roman" w:hAnsi="Times New Roman" w:cs="Times New Roman"/>
          <w:sz w:val="24"/>
          <w:szCs w:val="24"/>
        </w:rPr>
        <w:t xml:space="preserve">ustawa PZP – ustawa z dnia 29 stycznia 2004 r. Prawo </w:t>
      </w:r>
      <w:r w:rsidR="004828D1" w:rsidRPr="00BC7E35">
        <w:rPr>
          <w:rFonts w:ascii="Times New Roman" w:hAnsi="Times New Roman" w:cs="Times New Roman"/>
          <w:sz w:val="24"/>
          <w:szCs w:val="24"/>
        </w:rPr>
        <w:t>z</w:t>
      </w:r>
      <w:r w:rsidRPr="00BC7E35">
        <w:rPr>
          <w:rFonts w:ascii="Times New Roman" w:hAnsi="Times New Roman" w:cs="Times New Roman"/>
          <w:sz w:val="24"/>
          <w:szCs w:val="24"/>
        </w:rPr>
        <w:t xml:space="preserve">amówień </w:t>
      </w:r>
      <w:r w:rsidR="004828D1" w:rsidRPr="00BC7E35">
        <w:rPr>
          <w:rFonts w:ascii="Times New Roman" w:hAnsi="Times New Roman" w:cs="Times New Roman"/>
          <w:sz w:val="24"/>
          <w:szCs w:val="24"/>
        </w:rPr>
        <w:t>p</w:t>
      </w:r>
      <w:r w:rsidRPr="00BC7E35">
        <w:rPr>
          <w:rFonts w:ascii="Times New Roman" w:hAnsi="Times New Roman" w:cs="Times New Roman"/>
          <w:sz w:val="24"/>
          <w:szCs w:val="24"/>
        </w:rPr>
        <w:t xml:space="preserve">ublicznych 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BC7E35">
        <w:rPr>
          <w:rFonts w:ascii="Times New Roman" w:hAnsi="Times New Roman" w:cs="Times New Roman"/>
          <w:sz w:val="24"/>
          <w:szCs w:val="24"/>
        </w:rPr>
        <w:t xml:space="preserve">(Dz. U. z </w:t>
      </w:r>
      <w:r w:rsidR="0012035E">
        <w:rPr>
          <w:rFonts w:ascii="Times New Roman" w:hAnsi="Times New Roman" w:cs="Times New Roman"/>
          <w:sz w:val="24"/>
          <w:szCs w:val="24"/>
        </w:rPr>
        <w:t>2018</w:t>
      </w:r>
      <w:r w:rsidR="0012035E" w:rsidRPr="00BC7E35">
        <w:rPr>
          <w:rFonts w:ascii="Times New Roman" w:hAnsi="Times New Roman" w:cs="Times New Roman"/>
          <w:sz w:val="24"/>
          <w:szCs w:val="24"/>
        </w:rPr>
        <w:t xml:space="preserve"> </w:t>
      </w:r>
      <w:r w:rsidRPr="00BC7E35">
        <w:rPr>
          <w:rFonts w:ascii="Times New Roman" w:hAnsi="Times New Roman" w:cs="Times New Roman"/>
          <w:sz w:val="24"/>
          <w:szCs w:val="24"/>
        </w:rPr>
        <w:t xml:space="preserve">r. </w:t>
      </w:r>
      <w:r w:rsidR="005E17B9" w:rsidRPr="00BC7E35">
        <w:rPr>
          <w:rFonts w:ascii="Times New Roman" w:hAnsi="Times New Roman" w:cs="Times New Roman"/>
          <w:sz w:val="24"/>
          <w:szCs w:val="24"/>
        </w:rPr>
        <w:t xml:space="preserve">poz. </w:t>
      </w:r>
      <w:r w:rsidR="0012035E">
        <w:rPr>
          <w:rFonts w:ascii="Times New Roman" w:hAnsi="Times New Roman" w:cs="Times New Roman"/>
          <w:sz w:val="24"/>
          <w:szCs w:val="24"/>
        </w:rPr>
        <w:t>1986</w:t>
      </w:r>
      <w:r w:rsidR="004828D1" w:rsidRPr="00BC7E35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828D1" w:rsidRPr="00BC7E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28D1" w:rsidRPr="00BC7E35">
        <w:rPr>
          <w:rFonts w:ascii="Times New Roman" w:hAnsi="Times New Roman" w:cs="Times New Roman"/>
          <w:sz w:val="24"/>
          <w:szCs w:val="24"/>
        </w:rPr>
        <w:t>. zm.</w:t>
      </w:r>
      <w:r w:rsidRPr="00BC7E35">
        <w:rPr>
          <w:rFonts w:ascii="Times New Roman" w:hAnsi="Times New Roman" w:cs="Times New Roman"/>
          <w:sz w:val="24"/>
          <w:szCs w:val="24"/>
        </w:rPr>
        <w:t>);</w:t>
      </w:r>
    </w:p>
    <w:p w14:paraId="7DD85AFA" w14:textId="40F25759" w:rsidR="00EA73BF" w:rsidRPr="00BC7E35" w:rsidRDefault="00EA73BF" w:rsidP="00BC7E35">
      <w:pPr>
        <w:numPr>
          <w:ilvl w:val="0"/>
          <w:numId w:val="1"/>
        </w:numPr>
        <w:spacing w:beforeLines="60"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BC7E35">
        <w:rPr>
          <w:rFonts w:ascii="Times New Roman" w:hAnsi="Times New Roman" w:cs="Times New Roman"/>
          <w:sz w:val="24"/>
          <w:szCs w:val="24"/>
        </w:rPr>
        <w:t xml:space="preserve">ustawa o finansach publicznych </w:t>
      </w:r>
      <w:r w:rsidR="00EC5FF1" w:rsidRPr="00BC7E35">
        <w:rPr>
          <w:rFonts w:ascii="Times New Roman" w:hAnsi="Times New Roman" w:cs="Times New Roman"/>
          <w:sz w:val="24"/>
          <w:szCs w:val="24"/>
        </w:rPr>
        <w:t>–</w:t>
      </w:r>
      <w:r w:rsidRPr="00BC7E35">
        <w:rPr>
          <w:rFonts w:ascii="Times New Roman" w:hAnsi="Times New Roman" w:cs="Times New Roman"/>
          <w:sz w:val="24"/>
          <w:szCs w:val="24"/>
        </w:rPr>
        <w:t xml:space="preserve"> ustawa z dnia 27 sierpnia 2009 r. o finansach publicznych (</w:t>
      </w:r>
      <w:r w:rsidR="0044229B" w:rsidRPr="00BC7E35">
        <w:rPr>
          <w:rFonts w:ascii="Times New Roman" w:hAnsi="Times New Roman" w:cs="Times New Roman"/>
          <w:sz w:val="24"/>
          <w:szCs w:val="24"/>
        </w:rPr>
        <w:t>Dz. U.</w:t>
      </w:r>
      <w:r w:rsidR="0019508D" w:rsidRPr="00BC7E35">
        <w:rPr>
          <w:rFonts w:ascii="Times New Roman" w:hAnsi="Times New Roman" w:cs="Times New Roman"/>
          <w:sz w:val="24"/>
          <w:szCs w:val="24"/>
        </w:rPr>
        <w:t xml:space="preserve"> </w:t>
      </w:r>
      <w:r w:rsidR="004828D1" w:rsidRPr="00BC7E35">
        <w:rPr>
          <w:rFonts w:ascii="Times New Roman" w:hAnsi="Times New Roman" w:cs="Times New Roman"/>
          <w:sz w:val="24"/>
          <w:szCs w:val="24"/>
        </w:rPr>
        <w:t xml:space="preserve">z </w:t>
      </w:r>
      <w:r w:rsidR="0012035E">
        <w:rPr>
          <w:rFonts w:ascii="Times New Roman" w:hAnsi="Times New Roman" w:cs="Times New Roman"/>
          <w:sz w:val="24"/>
          <w:szCs w:val="24"/>
        </w:rPr>
        <w:t>2019</w:t>
      </w:r>
      <w:r w:rsidR="0012035E" w:rsidRPr="00BC7E35">
        <w:rPr>
          <w:rFonts w:ascii="Times New Roman" w:hAnsi="Times New Roman" w:cs="Times New Roman"/>
          <w:sz w:val="24"/>
          <w:szCs w:val="24"/>
        </w:rPr>
        <w:t xml:space="preserve"> </w:t>
      </w:r>
      <w:r w:rsidR="004828D1" w:rsidRPr="00BC7E35">
        <w:rPr>
          <w:rFonts w:ascii="Times New Roman" w:hAnsi="Times New Roman" w:cs="Times New Roman"/>
          <w:sz w:val="24"/>
          <w:szCs w:val="24"/>
        </w:rPr>
        <w:t>r.</w:t>
      </w:r>
      <w:r w:rsidRPr="00BC7E35">
        <w:rPr>
          <w:rFonts w:ascii="Times New Roman" w:hAnsi="Times New Roman" w:cs="Times New Roman"/>
          <w:sz w:val="24"/>
          <w:szCs w:val="24"/>
        </w:rPr>
        <w:t xml:space="preserve"> poz. </w:t>
      </w:r>
      <w:r w:rsidR="0012035E">
        <w:rPr>
          <w:rFonts w:ascii="Times New Roman" w:hAnsi="Times New Roman" w:cs="Times New Roman"/>
          <w:sz w:val="24"/>
          <w:szCs w:val="24"/>
        </w:rPr>
        <w:t>869</w:t>
      </w:r>
      <w:r w:rsidRPr="00BC7E35">
        <w:rPr>
          <w:rFonts w:ascii="Times New Roman" w:hAnsi="Times New Roman" w:cs="Times New Roman"/>
          <w:sz w:val="24"/>
          <w:szCs w:val="24"/>
        </w:rPr>
        <w:t>);</w:t>
      </w:r>
    </w:p>
    <w:p w14:paraId="702727AC" w14:textId="3BB3DE17" w:rsidR="00EA73BF" w:rsidRPr="00916561" w:rsidRDefault="00EA73BF" w:rsidP="00BC7E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C7E35">
        <w:rPr>
          <w:rFonts w:ascii="Times New Roman" w:hAnsi="Times New Roman" w:cs="Times New Roman"/>
          <w:sz w:val="24"/>
          <w:szCs w:val="24"/>
        </w:rPr>
        <w:t xml:space="preserve">rozporządzenie o PT </w:t>
      </w:r>
      <w:r w:rsidR="00EC5FF1" w:rsidRPr="00BC7E35">
        <w:rPr>
          <w:rFonts w:ascii="Times New Roman" w:hAnsi="Times New Roman" w:cs="Times New Roman"/>
          <w:sz w:val="24"/>
          <w:szCs w:val="24"/>
        </w:rPr>
        <w:t xml:space="preserve">– </w:t>
      </w:r>
      <w:r w:rsidRPr="00BC7E35">
        <w:rPr>
          <w:rFonts w:ascii="Times New Roman" w:hAnsi="Times New Roman" w:cs="Times New Roman"/>
          <w:sz w:val="24"/>
          <w:szCs w:val="24"/>
        </w:rPr>
        <w:t>rozporządzenie Ministra Rolnictwa i Rozwo</w:t>
      </w:r>
      <w:r w:rsidRPr="00916561">
        <w:rPr>
          <w:rFonts w:ascii="Times New Roman" w:hAnsi="Times New Roman" w:cs="Times New Roman"/>
          <w:bCs/>
          <w:sz w:val="24"/>
          <w:szCs w:val="24"/>
        </w:rPr>
        <w:t xml:space="preserve">ju Wsi </w:t>
      </w:r>
      <w:r w:rsidRPr="00916561">
        <w:rPr>
          <w:rFonts w:ascii="Times New Roman" w:hAnsi="Times New Roman" w:cs="Times New Roman"/>
          <w:sz w:val="24"/>
          <w:szCs w:val="24"/>
        </w:rPr>
        <w:t xml:space="preserve">z dnia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916561">
        <w:rPr>
          <w:rFonts w:ascii="Times New Roman" w:hAnsi="Times New Roman" w:cs="Times New Roman"/>
          <w:sz w:val="24"/>
          <w:szCs w:val="24"/>
        </w:rPr>
        <w:t xml:space="preserve">20 września 2016 r. </w:t>
      </w:r>
      <w:r w:rsidRPr="00916561">
        <w:rPr>
          <w:rFonts w:ascii="Times New Roman" w:hAnsi="Times New Roman" w:cs="Times New Roman"/>
          <w:bCs/>
          <w:sz w:val="24"/>
          <w:szCs w:val="24"/>
        </w:rPr>
        <w:t>w sprawie szczegółowych warunków i trybu przyznawania oraz wypłaty pomocy technicznej w ramach Programu Rozwoju Obszarów Wiejskich na lata 2014–2020 (</w:t>
      </w:r>
      <w:r w:rsidR="006B3242" w:rsidRPr="00916561">
        <w:rPr>
          <w:rFonts w:ascii="Times New Roman" w:hAnsi="Times New Roman" w:cs="Times New Roman"/>
          <w:bCs/>
          <w:sz w:val="24"/>
          <w:szCs w:val="24"/>
        </w:rPr>
        <w:t xml:space="preserve">Dz. U. poz. 1549, z </w:t>
      </w:r>
      <w:proofErr w:type="spellStart"/>
      <w:r w:rsidR="006B3242" w:rsidRPr="00916561">
        <w:rPr>
          <w:rFonts w:ascii="Times New Roman" w:hAnsi="Times New Roman" w:cs="Times New Roman"/>
          <w:bCs/>
          <w:sz w:val="24"/>
          <w:szCs w:val="24"/>
        </w:rPr>
        <w:t>poźn</w:t>
      </w:r>
      <w:proofErr w:type="spellEnd"/>
      <w:r w:rsidR="006B3242" w:rsidRPr="00916561">
        <w:rPr>
          <w:rFonts w:ascii="Times New Roman" w:hAnsi="Times New Roman" w:cs="Times New Roman"/>
          <w:bCs/>
          <w:sz w:val="24"/>
          <w:szCs w:val="24"/>
        </w:rPr>
        <w:t>. zm.);</w:t>
      </w:r>
    </w:p>
    <w:p w14:paraId="2929DF42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>r</w:t>
      </w:r>
      <w:r w:rsidRPr="00916561">
        <w:rPr>
          <w:rFonts w:ascii="Times New Roman" w:hAnsi="Times New Roman" w:cs="Times New Roman"/>
          <w:bCs/>
          <w:sz w:val="24"/>
          <w:szCs w:val="24"/>
        </w:rPr>
        <w:t xml:space="preserve">ozporządzenie dot. podróży służbowych – </w:t>
      </w:r>
      <w:r w:rsidR="00EC5FF1" w:rsidRPr="00916561">
        <w:rPr>
          <w:rFonts w:ascii="Times New Roman" w:hAnsi="Times New Roman" w:cs="Times New Roman"/>
          <w:bCs/>
          <w:sz w:val="24"/>
          <w:szCs w:val="24"/>
        </w:rPr>
        <w:t>rozporządzenie</w:t>
      </w:r>
      <w:r w:rsidRPr="00916561">
        <w:rPr>
          <w:rFonts w:ascii="Times New Roman" w:hAnsi="Times New Roman" w:cs="Times New Roman"/>
          <w:bCs/>
          <w:sz w:val="24"/>
          <w:szCs w:val="24"/>
        </w:rPr>
        <w:t xml:space="preserve"> Ministra Pracy i Polityki Społecznej z dnia 29 stycznia 2013 r. w sprawie należności przysługujących pracownikowi zatrudnionemu w państwowej lub samorządowej jednostce sfery budżetowej z tytułu podróży służbowej (Dz. U. poz. 167);</w:t>
      </w:r>
    </w:p>
    <w:p w14:paraId="46669E80" w14:textId="5E32ED12" w:rsidR="00F9429C" w:rsidRPr="00410AC0" w:rsidRDefault="00F9429C" w:rsidP="0068345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rozporządzenie o </w:t>
      </w:r>
      <w:r w:rsidR="00965123" w:rsidRPr="00916561">
        <w:rPr>
          <w:rFonts w:ascii="Times New Roman" w:hAnsi="Times New Roman" w:cs="Times New Roman"/>
          <w:sz w:val="24"/>
          <w:szCs w:val="24"/>
        </w:rPr>
        <w:t xml:space="preserve">sposobie dokonania zwrotu kosztów używania do celów służbowych samochodów osobowych </w:t>
      </w:r>
      <w:r w:rsidRPr="00916561">
        <w:rPr>
          <w:rFonts w:ascii="Times New Roman" w:hAnsi="Times New Roman" w:cs="Times New Roman"/>
          <w:sz w:val="24"/>
          <w:szCs w:val="24"/>
        </w:rPr>
        <w:t xml:space="preserve">– rozporządzenie Ministra Infrastruktury z dnia 25 marca 2002 r. w sprawie warunków ustalania oraz sposobu dokonywania zwrotu kosztów używania </w:t>
      </w:r>
      <w:r w:rsidRPr="00916561">
        <w:rPr>
          <w:rFonts w:ascii="Times New Roman" w:hAnsi="Times New Roman" w:cs="Times New Roman"/>
          <w:sz w:val="24"/>
          <w:szCs w:val="24"/>
        </w:rPr>
        <w:lastRenderedPageBreak/>
        <w:t>do celów służbowych samochodów osobowych, motocykli i motorowerów niebędących własnością pracodawcy (</w:t>
      </w:r>
      <w:r w:rsidR="0019508D" w:rsidRPr="00916561">
        <w:rPr>
          <w:rFonts w:ascii="Times New Roman" w:hAnsi="Times New Roman" w:cs="Times New Roman"/>
          <w:bCs/>
          <w:sz w:val="24"/>
          <w:szCs w:val="24"/>
        </w:rPr>
        <w:t>Dz. U.</w:t>
      </w:r>
      <w:r w:rsidR="00274DBA" w:rsidRPr="0091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561">
        <w:rPr>
          <w:rFonts w:ascii="Times New Roman" w:hAnsi="Times New Roman" w:cs="Times New Roman"/>
          <w:bCs/>
          <w:sz w:val="24"/>
          <w:szCs w:val="24"/>
        </w:rPr>
        <w:t>poz. 271</w:t>
      </w:r>
      <w:r w:rsidR="004F391C">
        <w:rPr>
          <w:rFonts w:ascii="Times New Roman" w:hAnsi="Times New Roman" w:cs="Times New Roman"/>
          <w:bCs/>
          <w:sz w:val="24"/>
          <w:szCs w:val="24"/>
        </w:rPr>
        <w:t>,</w:t>
      </w:r>
      <w:r w:rsidR="00274DBA" w:rsidRPr="00916561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274DBA" w:rsidRPr="0091656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74DBA" w:rsidRPr="00916561">
        <w:rPr>
          <w:rFonts w:ascii="Times New Roman" w:hAnsi="Times New Roman" w:cs="Times New Roman"/>
          <w:bCs/>
          <w:sz w:val="24"/>
          <w:szCs w:val="24"/>
        </w:rPr>
        <w:t>. zm.</w:t>
      </w:r>
      <w:r w:rsidRPr="00916561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2BDBD94" w14:textId="620BD864" w:rsidR="00BC7E35" w:rsidRPr="006A2E84" w:rsidRDefault="00BC7E35" w:rsidP="0068345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370D1">
        <w:rPr>
          <w:rFonts w:ascii="Times New Roman" w:hAnsi="Times New Roman" w:cs="Times New Roman"/>
          <w:sz w:val="24"/>
          <w:szCs w:val="24"/>
        </w:rPr>
        <w:t>rozporządzenie w sprawie wyboru wykonawców zadań – rozporządzenie Ministra Rolnictwa i Rozwoju Wsi z dnia 14 lutego 2018 r. w sprawie wyboru wykonawców zadań ujętych w zestawieniu rzeczowo–finansowym operacji oraz warunków dokonywania zmniejszeń kwot pomocy oraz pomocy technicznej (Dz. U. poz. 396);</w:t>
      </w:r>
    </w:p>
    <w:p w14:paraId="1FD1CC0D" w14:textId="48D22990" w:rsidR="00F9429C" w:rsidRPr="007370D1" w:rsidRDefault="00F9429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370D1">
        <w:rPr>
          <w:rFonts w:ascii="Times New Roman" w:eastAsia="Times New Roman" w:hAnsi="Times New Roman" w:cs="Times New Roman"/>
          <w:sz w:val="24"/>
          <w:szCs w:val="24"/>
        </w:rPr>
        <w:t xml:space="preserve">rozporządzenie o limitach PT </w:t>
      </w:r>
      <w:r w:rsidR="00EC5FF1" w:rsidRPr="007370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B30" w:rsidRPr="007370D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70D1">
        <w:rPr>
          <w:rFonts w:ascii="Times New Roman" w:eastAsia="Times New Roman" w:hAnsi="Times New Roman" w:cs="Times New Roman"/>
          <w:sz w:val="24"/>
          <w:szCs w:val="24"/>
        </w:rPr>
        <w:t xml:space="preserve">ozporządzenie Ministra Rolnictwa i Rozwoju Wsi </w:t>
      </w:r>
      <w:r w:rsidR="008A572D">
        <w:rPr>
          <w:rFonts w:ascii="Times New Roman" w:eastAsia="Times New Roman" w:hAnsi="Times New Roman" w:cs="Times New Roman"/>
          <w:sz w:val="24"/>
          <w:szCs w:val="24"/>
        </w:rPr>
        <w:br/>
      </w:r>
      <w:r w:rsidRPr="007370D1">
        <w:rPr>
          <w:rFonts w:ascii="Times New Roman" w:eastAsia="Times New Roman" w:hAnsi="Times New Roman" w:cs="Times New Roman"/>
          <w:sz w:val="24"/>
          <w:szCs w:val="24"/>
        </w:rPr>
        <w:t>z dnia 25 lutego 2016 r. w sprawie określenia wysokości limitów środków dostępnych w ramach schematów pomocy technicznej Programu Rozwoju Obszarów Wiejskich na lata 2014–2020 (Dz. U. poz. 335</w:t>
      </w:r>
      <w:r w:rsidR="004F391C" w:rsidRPr="007370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3682" w:rsidRPr="007370D1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8B3682" w:rsidRPr="007370D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8B3682" w:rsidRPr="007370D1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7370D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E8DCAD1" w14:textId="7DAEB496" w:rsidR="00174D08" w:rsidRPr="00916561" w:rsidRDefault="00174D08" w:rsidP="0068345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rozporządzenia w sprawie wystawiania faktur – rozporządzenie Ministra Finansów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916561">
        <w:rPr>
          <w:rFonts w:ascii="Times New Roman" w:hAnsi="Times New Roman" w:cs="Times New Roman"/>
          <w:sz w:val="24"/>
          <w:szCs w:val="24"/>
        </w:rPr>
        <w:t>z dnia 3 grudnia 2013 r</w:t>
      </w:r>
      <w:r w:rsidR="00C65132" w:rsidRPr="00916561">
        <w:rPr>
          <w:rFonts w:ascii="Times New Roman" w:hAnsi="Times New Roman" w:cs="Times New Roman"/>
          <w:sz w:val="24"/>
          <w:szCs w:val="24"/>
        </w:rPr>
        <w:t xml:space="preserve">. w sprawie wystawiania faktur </w:t>
      </w:r>
      <w:r w:rsidRPr="00916561">
        <w:rPr>
          <w:rFonts w:ascii="Times New Roman" w:hAnsi="Times New Roman" w:cs="Times New Roman"/>
          <w:sz w:val="24"/>
          <w:szCs w:val="24"/>
        </w:rPr>
        <w:t>(Dz. U. poz. 1485);</w:t>
      </w:r>
    </w:p>
    <w:p w14:paraId="30AA8154" w14:textId="77777777" w:rsidR="00C65132" w:rsidRPr="00916561" w:rsidRDefault="00F9429C" w:rsidP="0068345C">
      <w:pPr>
        <w:pStyle w:val="Akapitzlist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Pr="00916561">
        <w:rPr>
          <w:rFonts w:ascii="Times New Roman" w:hAnsi="Times New Roman" w:cs="Times New Roman"/>
          <w:sz w:val="24"/>
          <w:szCs w:val="24"/>
        </w:rPr>
        <w:t>– instytucja zarządzająca PROW 2014-2020;</w:t>
      </w:r>
    </w:p>
    <w:p w14:paraId="18303F59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 xml:space="preserve">AP </w:t>
      </w:r>
      <w:r w:rsidRPr="00916561">
        <w:rPr>
          <w:rFonts w:ascii="Times New Roman" w:hAnsi="Times New Roman" w:cs="Times New Roman"/>
          <w:sz w:val="24"/>
          <w:szCs w:val="24"/>
        </w:rPr>
        <w:t>– agencja płatnicza;</w:t>
      </w:r>
    </w:p>
    <w:p w14:paraId="0DFAE5EB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PROW 2014-2020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Program Rozwoju Obszarów Wiejskich na lata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6D531EC4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>PT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 xml:space="preserve">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Pomoc Techniczna w ramach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28D04076" w14:textId="77777777" w:rsidR="000D3743" w:rsidRPr="00916561" w:rsidRDefault="00F9429C" w:rsidP="0068345C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EFRROW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6561">
        <w:rPr>
          <w:rFonts w:ascii="Times New Roman" w:hAnsi="Times New Roman" w:cs="Times New Roman"/>
          <w:sz w:val="24"/>
          <w:szCs w:val="24"/>
        </w:rPr>
        <w:t xml:space="preserve"> Europejski Fundusz Rolny na rzecz Rozwoju Obszarów Wiejskich</w:t>
      </w:r>
      <w:r w:rsidR="00174D08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5845C110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916561">
        <w:rPr>
          <w:rFonts w:ascii="Times New Roman" w:hAnsi="Times New Roman" w:cs="Times New Roman"/>
          <w:sz w:val="24"/>
          <w:szCs w:val="24"/>
        </w:rPr>
        <w:t xml:space="preserve">– </w:t>
      </w:r>
      <w:r w:rsidR="00A95C28">
        <w:rPr>
          <w:rFonts w:ascii="Times New Roman" w:hAnsi="Times New Roman" w:cs="Times New Roman"/>
          <w:sz w:val="24"/>
          <w:szCs w:val="24"/>
        </w:rPr>
        <w:t>K</w:t>
      </w:r>
      <w:r w:rsidRPr="00916561">
        <w:rPr>
          <w:rFonts w:ascii="Times New Roman" w:hAnsi="Times New Roman" w:cs="Times New Roman"/>
          <w:sz w:val="24"/>
          <w:szCs w:val="24"/>
        </w:rPr>
        <w:t xml:space="preserve">omitet </w:t>
      </w:r>
      <w:r w:rsidR="00A95C28">
        <w:rPr>
          <w:rFonts w:ascii="Times New Roman" w:hAnsi="Times New Roman" w:cs="Times New Roman"/>
          <w:sz w:val="24"/>
          <w:szCs w:val="24"/>
        </w:rPr>
        <w:t>M</w:t>
      </w:r>
      <w:r w:rsidRPr="00916561">
        <w:rPr>
          <w:rFonts w:ascii="Times New Roman" w:hAnsi="Times New Roman" w:cs="Times New Roman"/>
          <w:sz w:val="24"/>
          <w:szCs w:val="24"/>
        </w:rPr>
        <w:t>onitorujący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070C669F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>DWR</w:t>
      </w:r>
      <w:r w:rsidR="00D94B30" w:rsidRPr="00916561">
        <w:rPr>
          <w:rFonts w:ascii="Times New Roman" w:hAnsi="Times New Roman" w:cs="Times New Roman"/>
          <w:sz w:val="24"/>
          <w:szCs w:val="24"/>
        </w:rPr>
        <w:t xml:space="preserve"> </w:t>
      </w:r>
      <w:r w:rsidRPr="00916561">
        <w:rPr>
          <w:rFonts w:ascii="Times New Roman" w:hAnsi="Times New Roman" w:cs="Times New Roman"/>
          <w:sz w:val="24"/>
          <w:szCs w:val="24"/>
        </w:rPr>
        <w:t xml:space="preserve">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dodatkowe wynagrodzenie roczne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01C99325" w14:textId="77777777" w:rsidR="00F9429C" w:rsidRPr="00916561" w:rsidRDefault="00F9429C" w:rsidP="0068345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Schemat I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Schemat I - Wzmocnienie systemu wdrażania Programu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2D1E9A74" w14:textId="77777777" w:rsidR="00F9429C" w:rsidRPr="00916561" w:rsidRDefault="00F9429C" w:rsidP="0068345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Schemat II – Schemat II - </w:t>
      </w:r>
      <w:r w:rsidR="00533D0B">
        <w:rPr>
          <w:rFonts w:ascii="Times New Roman" w:hAnsi="Times New Roman" w:cs="Times New Roman"/>
          <w:sz w:val="24"/>
          <w:szCs w:val="24"/>
        </w:rPr>
        <w:t>Wsparcie</w:t>
      </w:r>
      <w:r w:rsidRPr="00916561">
        <w:rPr>
          <w:rFonts w:ascii="Times New Roman" w:hAnsi="Times New Roman" w:cs="Times New Roman"/>
          <w:sz w:val="24"/>
          <w:szCs w:val="24"/>
        </w:rPr>
        <w:t xml:space="preserve"> funkcjonowani</w:t>
      </w:r>
      <w:r w:rsidR="00533D0B">
        <w:rPr>
          <w:rFonts w:ascii="Times New Roman" w:hAnsi="Times New Roman" w:cs="Times New Roman"/>
          <w:sz w:val="24"/>
          <w:szCs w:val="24"/>
        </w:rPr>
        <w:t>a</w:t>
      </w:r>
      <w:r w:rsidRPr="00916561">
        <w:rPr>
          <w:rFonts w:ascii="Times New Roman" w:hAnsi="Times New Roman" w:cs="Times New Roman"/>
          <w:sz w:val="24"/>
          <w:szCs w:val="24"/>
        </w:rPr>
        <w:t xml:space="preserve"> krajowej sieci obszarów wiejskich oraz realizacja działań informacyjno-promocyjnych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0A182DD6" w14:textId="77777777" w:rsidR="0068345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Operacja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projekt lub grupa projektów wybrane przez instytucję zarządzającą danym programem lub na jej odpowiedzialność, przyczyniające się do realizacji celów pomocy technicznej, określonych w PROW 2014-2020 realizowanych w danym okresie</w:t>
      </w:r>
      <w:r w:rsidR="00C65132" w:rsidRPr="00916561">
        <w:rPr>
          <w:rFonts w:ascii="Times New Roman" w:hAnsi="Times New Roman" w:cs="Times New Roman"/>
          <w:sz w:val="24"/>
          <w:szCs w:val="24"/>
        </w:rPr>
        <w:t>.</w:t>
      </w:r>
      <w:r w:rsidRPr="00916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31F1E" w14:textId="77777777" w:rsidR="00F9429C" w:rsidRPr="0068345C" w:rsidRDefault="0068345C" w:rsidP="0068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ED9A76" w14:textId="77777777" w:rsidR="00EA73BF" w:rsidRPr="001D0317" w:rsidRDefault="00BB1FF5" w:rsidP="00D60E97">
      <w:pPr>
        <w:pStyle w:val="Nagwek1"/>
        <w:ind w:left="284" w:hanging="284"/>
        <w:rPr>
          <w:rFonts w:ascii="Times New Roman" w:hAnsi="Times New Roman"/>
          <w:color w:val="auto"/>
        </w:rPr>
      </w:pPr>
      <w:bookmarkStart w:id="2" w:name="_Toc10788486"/>
      <w:r w:rsidRPr="001D0317">
        <w:rPr>
          <w:rFonts w:ascii="Times New Roman" w:hAnsi="Times New Roman"/>
          <w:color w:val="auto"/>
        </w:rPr>
        <w:lastRenderedPageBreak/>
        <w:t xml:space="preserve">II </w:t>
      </w:r>
      <w:r w:rsidR="0068345C" w:rsidRPr="001D0317">
        <w:rPr>
          <w:rFonts w:ascii="Times New Roman" w:hAnsi="Times New Roman"/>
          <w:color w:val="auto"/>
        </w:rPr>
        <w:t>Podstawowe warunki dotyczące</w:t>
      </w:r>
      <w:r w:rsidR="00EA73BF" w:rsidRPr="001D0317">
        <w:rPr>
          <w:rFonts w:ascii="Times New Roman" w:hAnsi="Times New Roman"/>
          <w:color w:val="auto"/>
        </w:rPr>
        <w:t xml:space="preserve"> kwalifikowalności kosztów w ramach PT PROW 2014-2020</w:t>
      </w:r>
      <w:bookmarkEnd w:id="2"/>
    </w:p>
    <w:p w14:paraId="4E4B9588" w14:textId="77777777" w:rsidR="00EA73BF" w:rsidRPr="0068345C" w:rsidRDefault="00EA73BF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5C">
        <w:rPr>
          <w:rFonts w:ascii="Times New Roman" w:eastAsia="Times New Roman" w:hAnsi="Times New Roman" w:cs="Times New Roman"/>
          <w:sz w:val="24"/>
          <w:szCs w:val="24"/>
        </w:rPr>
        <w:t xml:space="preserve">Początkiem okresu kwalifikowalności wydatków jest 1 stycznia 2014 r. Wydatki poniesione wcześniej nie stanowią wydatku kwalifikowalnego. Końcową datą kwalifikowalności wydatków jest 31 grudnia 2023 r. </w:t>
      </w:r>
      <w:r w:rsidRPr="0068345C">
        <w:rPr>
          <w:rFonts w:ascii="Times New Roman" w:hAnsi="Times New Roman" w:cs="Times New Roman"/>
          <w:sz w:val="24"/>
          <w:szCs w:val="24"/>
        </w:rPr>
        <w:t>Przedsięwzięcia mogą dotyczyć bieżącego, a także poprzednich i kolejnych okresów programowania.</w:t>
      </w:r>
    </w:p>
    <w:p w14:paraId="44B45534" w14:textId="77777777" w:rsidR="00EA73BF" w:rsidRPr="0068345C" w:rsidRDefault="00EA73BF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Pomoc techniczną przyznaje się w wysokości do 100% kosztów kwalifikowalnych. </w:t>
      </w:r>
      <w:r w:rsidR="00FA1790">
        <w:rPr>
          <w:rFonts w:ascii="Times New Roman" w:hAnsi="Times New Roman" w:cs="Times New Roman"/>
          <w:sz w:val="24"/>
          <w:szCs w:val="24"/>
        </w:rPr>
        <w:t>W</w:t>
      </w:r>
      <w:r w:rsidRPr="0068345C">
        <w:rPr>
          <w:rFonts w:ascii="Times New Roman" w:hAnsi="Times New Roman" w:cs="Times New Roman"/>
          <w:sz w:val="24"/>
          <w:szCs w:val="24"/>
        </w:rPr>
        <w:t>ydatek można uznać za kwalifikowalny jeżeli:</w:t>
      </w:r>
    </w:p>
    <w:p w14:paraId="55357AB7" w14:textId="77777777" w:rsidR="00EA73BF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niezbędny dla realizacji projektu; </w:t>
      </w:r>
    </w:p>
    <w:p w14:paraId="1FED1054" w14:textId="64983869" w:rsidR="00E0368B" w:rsidRPr="0068345C" w:rsidRDefault="00E0368B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uzasadniony zakresem operacji;</w:t>
      </w:r>
    </w:p>
    <w:p w14:paraId="7FB19B9D" w14:textId="77777777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racjonalny; </w:t>
      </w:r>
    </w:p>
    <w:p w14:paraId="5BABCDC5" w14:textId="77777777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rzetelnie udokumentowany i możliwy do zweryfikowania; </w:t>
      </w:r>
    </w:p>
    <w:p w14:paraId="6901E298" w14:textId="77777777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spójny z obowiązującymi przepisami; </w:t>
      </w:r>
    </w:p>
    <w:p w14:paraId="085ECDDE" w14:textId="67476713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ujęty na liście kosztów podlegających refundacji. </w:t>
      </w:r>
    </w:p>
    <w:p w14:paraId="380C7FA9" w14:textId="7D818878" w:rsidR="000A1CC7" w:rsidRDefault="00EA73BF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Koszt </w:t>
      </w:r>
      <w:r w:rsidR="000A1CC7">
        <w:rPr>
          <w:rFonts w:ascii="Times New Roman" w:hAnsi="Times New Roman" w:cs="Times New Roman"/>
          <w:sz w:val="24"/>
          <w:szCs w:val="24"/>
        </w:rPr>
        <w:t>personelu</w:t>
      </w:r>
      <w:r w:rsidR="00C6727F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może być uznany za kwalifikowa</w:t>
      </w:r>
      <w:r w:rsidR="00FA1790">
        <w:rPr>
          <w:rFonts w:ascii="Times New Roman" w:hAnsi="Times New Roman" w:cs="Times New Roman"/>
          <w:sz w:val="24"/>
          <w:szCs w:val="24"/>
        </w:rPr>
        <w:t>l</w:t>
      </w:r>
      <w:r w:rsidRPr="0068345C">
        <w:rPr>
          <w:rFonts w:ascii="Times New Roman" w:hAnsi="Times New Roman" w:cs="Times New Roman"/>
          <w:sz w:val="24"/>
          <w:szCs w:val="24"/>
        </w:rPr>
        <w:t>ny, jeżeli pracownik wykonuje zadania kwalifikowalne przez co najmniej 50% swoje</w:t>
      </w:r>
      <w:r w:rsidR="000A1CC7">
        <w:rPr>
          <w:rFonts w:ascii="Times New Roman" w:hAnsi="Times New Roman" w:cs="Times New Roman"/>
          <w:sz w:val="24"/>
          <w:szCs w:val="24"/>
        </w:rPr>
        <w:t xml:space="preserve">go czasu pracy w danym miesiącu, przy czym kwota kwalifikowalna określana jest </w:t>
      </w:r>
      <w:r w:rsidR="00FA179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A1CC7">
        <w:rPr>
          <w:rFonts w:ascii="Times New Roman" w:hAnsi="Times New Roman" w:cs="Times New Roman"/>
          <w:sz w:val="24"/>
          <w:szCs w:val="24"/>
        </w:rPr>
        <w:t>zasadą</w:t>
      </w:r>
      <w:r w:rsidRPr="0068345C">
        <w:rPr>
          <w:rFonts w:ascii="Times New Roman" w:hAnsi="Times New Roman" w:cs="Times New Roman"/>
          <w:sz w:val="24"/>
          <w:szCs w:val="24"/>
        </w:rPr>
        <w:t xml:space="preserve"> proporcjonalności. </w:t>
      </w:r>
      <w:r w:rsidR="000A1CC7">
        <w:rPr>
          <w:rFonts w:ascii="Times New Roman" w:hAnsi="Times New Roman" w:cs="Times New Roman"/>
          <w:sz w:val="24"/>
          <w:szCs w:val="24"/>
        </w:rPr>
        <w:t>W</w:t>
      </w:r>
      <w:r w:rsidRPr="0068345C">
        <w:rPr>
          <w:rFonts w:ascii="Times New Roman" w:hAnsi="Times New Roman" w:cs="Times New Roman"/>
          <w:sz w:val="24"/>
          <w:szCs w:val="24"/>
        </w:rPr>
        <w:t xml:space="preserve">ysokość finansowania z pomocy technicznej wszystkich kosztów administracyjnych wynikających z realizacji </w:t>
      </w:r>
      <w:r w:rsidR="000A1CC7">
        <w:rPr>
          <w:rFonts w:ascii="Times New Roman" w:hAnsi="Times New Roman" w:cs="Times New Roman"/>
          <w:sz w:val="24"/>
          <w:szCs w:val="24"/>
        </w:rPr>
        <w:t>przedmiotowych zadań uzależniona jest</w:t>
      </w:r>
      <w:r w:rsidRPr="0068345C">
        <w:rPr>
          <w:rFonts w:ascii="Times New Roman" w:hAnsi="Times New Roman" w:cs="Times New Roman"/>
          <w:sz w:val="24"/>
          <w:szCs w:val="24"/>
        </w:rPr>
        <w:t xml:space="preserve">  od stopnia zaangażowania </w:t>
      </w:r>
      <w:r w:rsidR="000A1CC7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68345C">
        <w:rPr>
          <w:rFonts w:ascii="Times New Roman" w:hAnsi="Times New Roman" w:cs="Times New Roman"/>
          <w:sz w:val="24"/>
          <w:szCs w:val="24"/>
        </w:rPr>
        <w:t>w wykonywanie zadań kwalifikowalnych</w:t>
      </w:r>
      <w:r w:rsidR="005B0C4B">
        <w:rPr>
          <w:rFonts w:ascii="Times New Roman" w:hAnsi="Times New Roman" w:cs="Times New Roman"/>
          <w:sz w:val="24"/>
          <w:szCs w:val="24"/>
        </w:rPr>
        <w:t>, od której to zasady są wyjątki</w:t>
      </w:r>
      <w:r w:rsidRPr="006834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5135" w14:textId="17671ADE" w:rsidR="00822EBF" w:rsidRPr="00985CF1" w:rsidRDefault="00EA73BF" w:rsidP="00CE649B">
      <w:pPr>
        <w:pStyle w:val="Akapitzlist"/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 xml:space="preserve">Zasada, zgodnie z którą wymagane jest minimum 50% zaangażowanie pracownika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 nie dotyczy kosztów poniesionych przez podmiot uprawniony przed wejśc</w:t>
      </w:r>
      <w:r w:rsidR="001242E5" w:rsidRPr="000A1CC7">
        <w:rPr>
          <w:rFonts w:ascii="Times New Roman" w:hAnsi="Times New Roman" w:cs="Times New Roman"/>
          <w:sz w:val="24"/>
          <w:szCs w:val="24"/>
        </w:rPr>
        <w:t>iem w życie rozporządzenia o PT</w:t>
      </w:r>
      <w:r w:rsidR="005B0C4B">
        <w:rPr>
          <w:rFonts w:ascii="Times New Roman" w:hAnsi="Times New Roman" w:cs="Times New Roman"/>
          <w:sz w:val="24"/>
          <w:szCs w:val="24"/>
        </w:rPr>
        <w:t>,</w:t>
      </w:r>
      <w:r w:rsidR="001242E5" w:rsidRPr="000A1CC7">
        <w:rPr>
          <w:rFonts w:ascii="Times New Roman" w:hAnsi="Times New Roman" w:cs="Times New Roman"/>
          <w:sz w:val="24"/>
          <w:szCs w:val="24"/>
        </w:rPr>
        <w:t xml:space="preserve">  tj. przed dniem 5 października 2016 r.</w:t>
      </w:r>
      <w:r w:rsidR="001C1053">
        <w:rPr>
          <w:rFonts w:ascii="Times New Roman" w:hAnsi="Times New Roman" w:cs="Times New Roman"/>
          <w:sz w:val="24"/>
          <w:szCs w:val="24"/>
        </w:rPr>
        <w:t xml:space="preserve"> </w:t>
      </w:r>
      <w:r w:rsidR="00E33A58" w:rsidRPr="00985CF1">
        <w:rPr>
          <w:rFonts w:ascii="Times New Roman" w:hAnsi="Times New Roman" w:cs="Times New Roman"/>
          <w:sz w:val="24"/>
          <w:szCs w:val="24"/>
        </w:rPr>
        <w:t>Ni</w:t>
      </w:r>
      <w:r w:rsidR="00E33A58"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="00E33A58" w:rsidRPr="00985CF1">
        <w:rPr>
          <w:rFonts w:ascii="Times New Roman" w:hAnsi="Times New Roman" w:cs="Times New Roman"/>
          <w:sz w:val="24"/>
          <w:szCs w:val="24"/>
        </w:rPr>
        <w:t>określana jest zgodnie z zasadą proporcjonalności</w:t>
      </w:r>
      <w:r w:rsidR="005B0C4B">
        <w:rPr>
          <w:rFonts w:ascii="Times New Roman" w:hAnsi="Times New Roman" w:cs="Times New Roman"/>
          <w:sz w:val="24"/>
          <w:szCs w:val="24"/>
        </w:rPr>
        <w:t>,</w:t>
      </w:r>
      <w:r w:rsidR="00E33A58">
        <w:rPr>
          <w:rFonts w:ascii="Times New Roman" w:hAnsi="Times New Roman" w:cs="Times New Roman"/>
          <w:sz w:val="24"/>
          <w:szCs w:val="24"/>
        </w:rPr>
        <w:t xml:space="preserve"> tj.</w:t>
      </w:r>
      <w:r w:rsidR="00115783">
        <w:rPr>
          <w:rFonts w:ascii="Times New Roman" w:hAnsi="Times New Roman" w:cs="Times New Roman"/>
          <w:sz w:val="24"/>
          <w:szCs w:val="24"/>
        </w:rPr>
        <w:t xml:space="preserve"> wysokość kosztów kwalifikowalnych określana jest</w:t>
      </w:r>
      <w:r w:rsidR="00115783" w:rsidRPr="00985CF1">
        <w:rPr>
          <w:rFonts w:ascii="Times New Roman" w:hAnsi="Times New Roman" w:cs="Times New Roman"/>
          <w:sz w:val="24"/>
          <w:szCs w:val="24"/>
        </w:rPr>
        <w:t xml:space="preserve"> na poziomie równym procentowemu zaangażowaniu pracownika</w:t>
      </w:r>
      <w:r w:rsidR="00822EBF" w:rsidRPr="00985C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A3DCA" w14:textId="77777777" w:rsidR="008E06B4" w:rsidRDefault="00A3720E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>Czas pracy przeznaczony na realizację zadań kwalifikowalnych weryfikowany jest na podstawie opisu stanowiska pracy lub równoważnego dokumentu</w:t>
      </w:r>
      <w:r w:rsidR="009D1D67">
        <w:rPr>
          <w:rFonts w:ascii="Times New Roman" w:hAnsi="Times New Roman" w:cs="Times New Roman"/>
          <w:sz w:val="24"/>
          <w:szCs w:val="24"/>
        </w:rPr>
        <w:t xml:space="preserve"> wskazujących określony procentowo udział czasu pracy pracownika</w:t>
      </w:r>
      <w:r w:rsidR="008E06B4">
        <w:rPr>
          <w:rFonts w:ascii="Times New Roman" w:hAnsi="Times New Roman" w:cs="Times New Roman"/>
          <w:sz w:val="24"/>
          <w:szCs w:val="24"/>
        </w:rPr>
        <w:t xml:space="preserve"> w ramach każdego ze schematów pomocy technicznej.</w:t>
      </w:r>
      <w:r w:rsidRPr="00683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388F" w14:textId="4A7F0094" w:rsidR="00EA73BF" w:rsidRPr="008E06B4" w:rsidRDefault="00EA73BF" w:rsidP="00CE649B">
      <w:pPr>
        <w:autoSpaceDE w:val="0"/>
        <w:autoSpaceDN w:val="0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6B4">
        <w:rPr>
          <w:rFonts w:ascii="Times New Roman" w:hAnsi="Times New Roman" w:cs="Times New Roman"/>
          <w:sz w:val="24"/>
          <w:szCs w:val="24"/>
        </w:rPr>
        <w:t xml:space="preserve">Ustalenie udziału czasu pracy przeznaczonego na realizację zadań kwalifikowalnych,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8E06B4">
        <w:rPr>
          <w:rFonts w:ascii="Times New Roman" w:hAnsi="Times New Roman" w:cs="Times New Roman"/>
          <w:sz w:val="24"/>
          <w:szCs w:val="24"/>
        </w:rPr>
        <w:t xml:space="preserve">w przypadku kosztów poniesionych przed dniem wejścia w życie rozporządzenia o PT,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8E06B4" w:rsidRPr="000A1CC7">
        <w:rPr>
          <w:rFonts w:ascii="Times New Roman" w:hAnsi="Times New Roman" w:cs="Times New Roman"/>
          <w:sz w:val="24"/>
          <w:szCs w:val="24"/>
        </w:rPr>
        <w:t>tj. przed dniem 5 października 2016 r.</w:t>
      </w:r>
      <w:r w:rsidR="005B0C4B">
        <w:rPr>
          <w:rFonts w:ascii="Times New Roman" w:hAnsi="Times New Roman" w:cs="Times New Roman"/>
          <w:sz w:val="24"/>
          <w:szCs w:val="24"/>
        </w:rPr>
        <w:t>,</w:t>
      </w:r>
      <w:r w:rsidR="008E06B4">
        <w:rPr>
          <w:rFonts w:ascii="Times New Roman" w:hAnsi="Times New Roman" w:cs="Times New Roman"/>
          <w:sz w:val="24"/>
          <w:szCs w:val="24"/>
        </w:rPr>
        <w:t xml:space="preserve"> </w:t>
      </w:r>
      <w:r w:rsidRPr="008E06B4">
        <w:rPr>
          <w:rFonts w:ascii="Times New Roman" w:hAnsi="Times New Roman" w:cs="Times New Roman"/>
          <w:sz w:val="24"/>
          <w:szCs w:val="24"/>
        </w:rPr>
        <w:t>dokonuje się na podstawie dokumentu wskazującego realizowane zadania i procentowy udział czasu pracy pracownika podmiotu uprawnionego przeznaczonego na wykonywanie zadań kwalifikowalnych oraz schemat pomocy technicznej, w ramach którego wykonuje te obowiązki, sporządzonego przez podmiot uprawniony na formularzu udostępnionym przez Agencję</w:t>
      </w:r>
      <w:r w:rsidR="008E06B4" w:rsidRPr="008E06B4">
        <w:rPr>
          <w:rFonts w:ascii="Times New Roman" w:hAnsi="Times New Roman" w:cs="Times New Roman"/>
          <w:sz w:val="24"/>
          <w:szCs w:val="24"/>
        </w:rPr>
        <w:t xml:space="preserve"> </w:t>
      </w:r>
      <w:r w:rsidRPr="008E06B4">
        <w:rPr>
          <w:rFonts w:ascii="Times New Roman" w:hAnsi="Times New Roman" w:cs="Times New Roman"/>
          <w:sz w:val="24"/>
          <w:szCs w:val="24"/>
        </w:rPr>
        <w:t xml:space="preserve">albo opisu stanowiska pracy lub równoważnego dokumentu sporządzonego przez podmiot uprawniony przed dniem wejścia w życie rozporządzenia o PT, jeżeli zawierają wszystkie wymagane informacje. </w:t>
      </w:r>
    </w:p>
    <w:p w14:paraId="1DE3BF69" w14:textId="1C17265B" w:rsidR="001152D4" w:rsidRPr="0068345C" w:rsidRDefault="001152D4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>Racjonalność wydatków</w:t>
      </w:r>
      <w:r w:rsidR="00E34405" w:rsidRPr="00E34405">
        <w:rPr>
          <w:rFonts w:ascii="Times New Roman" w:hAnsi="Times New Roman" w:cs="Times New Roman"/>
          <w:sz w:val="24"/>
          <w:szCs w:val="24"/>
        </w:rPr>
        <w:t xml:space="preserve"> </w:t>
      </w:r>
      <w:r w:rsidR="00E34405" w:rsidRPr="0068345C">
        <w:rPr>
          <w:rFonts w:ascii="Times New Roman" w:hAnsi="Times New Roman" w:cs="Times New Roman"/>
          <w:sz w:val="24"/>
          <w:szCs w:val="24"/>
        </w:rPr>
        <w:t>jest potwierdzona</w:t>
      </w:r>
      <w:r w:rsidRPr="0068345C">
        <w:rPr>
          <w:rFonts w:ascii="Times New Roman" w:hAnsi="Times New Roman" w:cs="Times New Roman"/>
          <w:sz w:val="24"/>
          <w:szCs w:val="24"/>
        </w:rPr>
        <w:t>, w przypadku gdy:</w:t>
      </w:r>
    </w:p>
    <w:p w14:paraId="4532E37B" w14:textId="3F31FEC9" w:rsidR="001152D4" w:rsidRPr="0068345C" w:rsidRDefault="001152D4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lastRenderedPageBreak/>
        <w:t xml:space="preserve">postępowanie </w:t>
      </w:r>
      <w:r w:rsidR="00E34405">
        <w:rPr>
          <w:rFonts w:ascii="Times New Roman" w:hAnsi="Times New Roman" w:cs="Times New Roman"/>
          <w:sz w:val="24"/>
          <w:szCs w:val="24"/>
        </w:rPr>
        <w:t>w sprawie</w:t>
      </w:r>
      <w:r w:rsidR="00E34405" w:rsidRPr="0068345C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wyb</w:t>
      </w:r>
      <w:r w:rsidR="00E34405">
        <w:rPr>
          <w:rFonts w:ascii="Times New Roman" w:hAnsi="Times New Roman" w:cs="Times New Roman"/>
          <w:sz w:val="24"/>
          <w:szCs w:val="24"/>
        </w:rPr>
        <w:t>oru</w:t>
      </w:r>
      <w:r w:rsidRPr="0068345C">
        <w:rPr>
          <w:rFonts w:ascii="Times New Roman" w:hAnsi="Times New Roman" w:cs="Times New Roman"/>
          <w:sz w:val="24"/>
          <w:szCs w:val="24"/>
        </w:rPr>
        <w:t xml:space="preserve"> wykonawcy zostało przeprowadzone zgodnie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68345C">
        <w:rPr>
          <w:rFonts w:ascii="Times New Roman" w:hAnsi="Times New Roman" w:cs="Times New Roman"/>
          <w:sz w:val="24"/>
          <w:szCs w:val="24"/>
        </w:rPr>
        <w:t>z trybem określonym</w:t>
      </w:r>
      <w:r w:rsidR="005604BB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w</w:t>
      </w:r>
      <w:r w:rsidR="005604BB">
        <w:rPr>
          <w:rFonts w:ascii="Times New Roman" w:hAnsi="Times New Roman" w:cs="Times New Roman"/>
          <w:sz w:val="24"/>
          <w:szCs w:val="24"/>
        </w:rPr>
        <w:t xml:space="preserve"> ustawie PZP</w:t>
      </w:r>
      <w:r w:rsidR="00E34405">
        <w:rPr>
          <w:rFonts w:ascii="Times New Roman" w:hAnsi="Times New Roman" w:cs="Times New Roman"/>
          <w:sz w:val="24"/>
          <w:szCs w:val="24"/>
        </w:rPr>
        <w:t xml:space="preserve"> –</w:t>
      </w:r>
      <w:r w:rsidRPr="0068345C">
        <w:rPr>
          <w:rFonts w:ascii="Times New Roman" w:hAnsi="Times New Roman" w:cs="Times New Roman"/>
          <w:sz w:val="24"/>
          <w:szCs w:val="24"/>
        </w:rPr>
        <w:t>na podstawie prawidłowo przeprowadzonego postępowania o</w:t>
      </w:r>
      <w:r w:rsidR="005604BB">
        <w:rPr>
          <w:rFonts w:ascii="Times New Roman" w:hAnsi="Times New Roman" w:cs="Times New Roman"/>
          <w:sz w:val="24"/>
          <w:szCs w:val="24"/>
        </w:rPr>
        <w:t xml:space="preserve"> udzieleni</w:t>
      </w:r>
      <w:r w:rsidR="00881B1D">
        <w:rPr>
          <w:rFonts w:ascii="Times New Roman" w:hAnsi="Times New Roman" w:cs="Times New Roman"/>
          <w:sz w:val="24"/>
          <w:szCs w:val="24"/>
        </w:rPr>
        <w:t>e</w:t>
      </w:r>
      <w:r w:rsidRPr="0068345C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5604BB">
        <w:rPr>
          <w:rFonts w:ascii="Times New Roman" w:hAnsi="Times New Roman" w:cs="Times New Roman"/>
          <w:sz w:val="24"/>
          <w:szCs w:val="24"/>
        </w:rPr>
        <w:t>a</w:t>
      </w:r>
      <w:r w:rsidRPr="0068345C">
        <w:rPr>
          <w:rFonts w:ascii="Times New Roman" w:hAnsi="Times New Roman" w:cs="Times New Roman"/>
          <w:sz w:val="24"/>
          <w:szCs w:val="24"/>
        </w:rPr>
        <w:t xml:space="preserve"> publiczne</w:t>
      </w:r>
      <w:r w:rsidR="005604BB">
        <w:rPr>
          <w:rFonts w:ascii="Times New Roman" w:hAnsi="Times New Roman" w:cs="Times New Roman"/>
          <w:sz w:val="24"/>
          <w:szCs w:val="24"/>
        </w:rPr>
        <w:t>go</w:t>
      </w:r>
      <w:r w:rsidR="00414D08" w:rsidRPr="0068345C">
        <w:rPr>
          <w:rFonts w:ascii="Times New Roman" w:hAnsi="Times New Roman" w:cs="Times New Roman"/>
          <w:sz w:val="24"/>
          <w:szCs w:val="24"/>
        </w:rPr>
        <w:t>;</w:t>
      </w:r>
    </w:p>
    <w:p w14:paraId="4C4DB256" w14:textId="2DFCFF0B" w:rsidR="001152D4" w:rsidRPr="00050530" w:rsidRDefault="001152D4" w:rsidP="00474754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7477AE">
        <w:rPr>
          <w:rFonts w:ascii="Times New Roman" w:hAnsi="Times New Roman" w:cs="Times New Roman"/>
          <w:sz w:val="24"/>
          <w:szCs w:val="24"/>
        </w:rPr>
        <w:t>w sprawie</w:t>
      </w:r>
      <w:r w:rsidR="007477AE" w:rsidRPr="0068345C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wyb</w:t>
      </w:r>
      <w:r w:rsidR="007477AE">
        <w:rPr>
          <w:rFonts w:ascii="Times New Roman" w:hAnsi="Times New Roman" w:cs="Times New Roman"/>
          <w:sz w:val="24"/>
          <w:szCs w:val="24"/>
        </w:rPr>
        <w:t>oru</w:t>
      </w:r>
      <w:r w:rsidRPr="0068345C">
        <w:rPr>
          <w:rFonts w:ascii="Times New Roman" w:hAnsi="Times New Roman" w:cs="Times New Roman"/>
          <w:sz w:val="24"/>
          <w:szCs w:val="24"/>
        </w:rPr>
        <w:t xml:space="preserve"> wykonawcy zostało przeprowadzone zgodnie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68345C">
        <w:rPr>
          <w:rFonts w:ascii="Times New Roman" w:hAnsi="Times New Roman" w:cs="Times New Roman"/>
          <w:sz w:val="24"/>
          <w:szCs w:val="24"/>
        </w:rPr>
        <w:t>z trybem określonym w art. 43a ustawy</w:t>
      </w:r>
      <w:r w:rsidR="005604BB">
        <w:rPr>
          <w:rFonts w:ascii="Times New Roman" w:hAnsi="Times New Roman" w:cs="Times New Roman"/>
          <w:sz w:val="24"/>
          <w:szCs w:val="24"/>
        </w:rPr>
        <w:t xml:space="preserve"> ROW</w:t>
      </w:r>
      <w:r w:rsidRPr="0068345C">
        <w:rPr>
          <w:rFonts w:ascii="Times New Roman" w:hAnsi="Times New Roman" w:cs="Times New Roman"/>
          <w:sz w:val="24"/>
          <w:szCs w:val="24"/>
        </w:rPr>
        <w:t xml:space="preserve"> i </w:t>
      </w:r>
      <w:r w:rsidR="00474754" w:rsidRPr="00050530">
        <w:rPr>
          <w:rFonts w:ascii="Times New Roman" w:hAnsi="Times New Roman" w:cs="Times New Roman"/>
          <w:sz w:val="24"/>
          <w:szCs w:val="24"/>
        </w:rPr>
        <w:t>rozporządzeniu w sprawie wyboru wykonawców zadań</w:t>
      </w:r>
      <w:r w:rsidR="00E34405">
        <w:rPr>
          <w:rFonts w:ascii="Times New Roman" w:hAnsi="Times New Roman" w:cs="Times New Roman"/>
          <w:sz w:val="24"/>
          <w:szCs w:val="24"/>
        </w:rPr>
        <w:t xml:space="preserve"> –</w:t>
      </w:r>
      <w:r w:rsidRPr="00050530">
        <w:rPr>
          <w:rFonts w:ascii="Times New Roman" w:hAnsi="Times New Roman" w:cs="Times New Roman"/>
          <w:sz w:val="24"/>
          <w:szCs w:val="24"/>
        </w:rPr>
        <w:t>na podstawie</w:t>
      </w:r>
      <w:r w:rsidR="00E34405">
        <w:rPr>
          <w:rFonts w:ascii="Times New Roman" w:hAnsi="Times New Roman" w:cs="Times New Roman"/>
          <w:sz w:val="24"/>
          <w:szCs w:val="24"/>
        </w:rPr>
        <w:t xml:space="preserve"> </w:t>
      </w:r>
      <w:r w:rsidRPr="00050530">
        <w:rPr>
          <w:rFonts w:ascii="Times New Roman" w:hAnsi="Times New Roman" w:cs="Times New Roman"/>
          <w:sz w:val="24"/>
          <w:szCs w:val="24"/>
        </w:rPr>
        <w:t xml:space="preserve">prawidłowo przeprowadzonego postępowania, tj. zgodnie z warunkami i trybem </w:t>
      </w:r>
      <w:r w:rsidR="007477AE" w:rsidRPr="007477AE">
        <w:rPr>
          <w:rFonts w:ascii="Times New Roman" w:hAnsi="Times New Roman" w:cs="Times New Roman"/>
          <w:sz w:val="24"/>
          <w:szCs w:val="24"/>
        </w:rPr>
        <w:t xml:space="preserve">konkurencyjnego wyboru wykonawców </w:t>
      </w:r>
      <w:r w:rsidRPr="00050530">
        <w:rPr>
          <w:rFonts w:ascii="Times New Roman" w:hAnsi="Times New Roman" w:cs="Times New Roman"/>
          <w:sz w:val="24"/>
          <w:szCs w:val="24"/>
        </w:rPr>
        <w:t>określony</w:t>
      </w:r>
      <w:r w:rsidR="00BD3142">
        <w:rPr>
          <w:rFonts w:ascii="Times New Roman" w:hAnsi="Times New Roman" w:cs="Times New Roman"/>
          <w:sz w:val="24"/>
          <w:szCs w:val="24"/>
        </w:rPr>
        <w:t>ch</w:t>
      </w:r>
      <w:r w:rsidRPr="00050530">
        <w:rPr>
          <w:rFonts w:ascii="Times New Roman" w:hAnsi="Times New Roman" w:cs="Times New Roman"/>
          <w:sz w:val="24"/>
          <w:szCs w:val="24"/>
        </w:rPr>
        <w:t xml:space="preserve"> w ww. ustawie i rozporządzeniu;</w:t>
      </w:r>
    </w:p>
    <w:p w14:paraId="5BBF601D" w14:textId="7EB8E0DA" w:rsidR="00630EE9" w:rsidRPr="00050530" w:rsidRDefault="00E34405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1152D4" w:rsidRPr="00050530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BD3142">
        <w:rPr>
          <w:rFonts w:ascii="Times New Roman" w:hAnsi="Times New Roman" w:cs="Times New Roman"/>
          <w:sz w:val="24"/>
          <w:szCs w:val="24"/>
        </w:rPr>
        <w:t>w sprawie</w:t>
      </w:r>
      <w:r w:rsidR="00BD3142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1152D4" w:rsidRPr="00050530">
        <w:rPr>
          <w:rFonts w:ascii="Times New Roman" w:hAnsi="Times New Roman" w:cs="Times New Roman"/>
          <w:sz w:val="24"/>
          <w:szCs w:val="24"/>
        </w:rPr>
        <w:t>wyb</w:t>
      </w:r>
      <w:r w:rsidR="00BD3142">
        <w:rPr>
          <w:rFonts w:ascii="Times New Roman" w:hAnsi="Times New Roman" w:cs="Times New Roman"/>
          <w:sz w:val="24"/>
          <w:szCs w:val="24"/>
        </w:rPr>
        <w:t>oru</w:t>
      </w:r>
      <w:r w:rsidR="001152D4" w:rsidRPr="00050530">
        <w:rPr>
          <w:rFonts w:ascii="Times New Roman" w:hAnsi="Times New Roman" w:cs="Times New Roman"/>
          <w:sz w:val="24"/>
          <w:szCs w:val="24"/>
        </w:rPr>
        <w:t xml:space="preserve"> wykonawcy nie mają zastosowania przepisy, o których mowa w </w:t>
      </w:r>
      <w:proofErr w:type="spellStart"/>
      <w:r w:rsidR="001152D4" w:rsidRPr="00050530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="001152D4" w:rsidRPr="00050530">
        <w:rPr>
          <w:rFonts w:ascii="Times New Roman" w:hAnsi="Times New Roman" w:cs="Times New Roman"/>
          <w:sz w:val="24"/>
          <w:szCs w:val="24"/>
        </w:rPr>
        <w:t xml:space="preserve"> jeden i dwa</w:t>
      </w:r>
      <w:r w:rsidR="00394581">
        <w:rPr>
          <w:rFonts w:ascii="Times New Roman" w:hAnsi="Times New Roman" w:cs="Times New Roman"/>
          <w:sz w:val="24"/>
          <w:szCs w:val="24"/>
        </w:rPr>
        <w:t xml:space="preserve"> – </w:t>
      </w:r>
      <w:r w:rsidR="000D56E1" w:rsidRPr="00050530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34405">
        <w:rPr>
          <w:rFonts w:ascii="Times New Roman" w:hAnsi="Times New Roman" w:cs="Times New Roman"/>
          <w:sz w:val="24"/>
          <w:szCs w:val="24"/>
        </w:rPr>
        <w:t xml:space="preserve">prawidłowo przeprowadzonego </w:t>
      </w:r>
      <w:r w:rsidR="001152D4" w:rsidRPr="00050530">
        <w:rPr>
          <w:rFonts w:ascii="Times New Roman" w:hAnsi="Times New Roman" w:cs="Times New Roman"/>
          <w:sz w:val="24"/>
          <w:szCs w:val="24"/>
        </w:rPr>
        <w:t>rozeznania rynku dokonanego przez podmiot uprawniony / beneficjenta</w:t>
      </w:r>
      <w:r w:rsidR="00394581">
        <w:rPr>
          <w:rFonts w:ascii="Times New Roman" w:hAnsi="Times New Roman" w:cs="Times New Roman"/>
          <w:sz w:val="24"/>
          <w:szCs w:val="24"/>
        </w:rPr>
        <w:t xml:space="preserve"> </w:t>
      </w:r>
      <w:r w:rsidR="004711F5" w:rsidRPr="00050530">
        <w:rPr>
          <w:rFonts w:ascii="Times New Roman" w:hAnsi="Times New Roman" w:cs="Times New Roman"/>
          <w:sz w:val="24"/>
          <w:szCs w:val="24"/>
        </w:rPr>
        <w:t>/</w:t>
      </w:r>
      <w:r w:rsidR="00394581">
        <w:rPr>
          <w:rFonts w:ascii="Times New Roman" w:hAnsi="Times New Roman" w:cs="Times New Roman"/>
          <w:sz w:val="24"/>
          <w:szCs w:val="24"/>
        </w:rPr>
        <w:t xml:space="preserve"> </w:t>
      </w:r>
      <w:r w:rsidR="004711F5" w:rsidRPr="00050530">
        <w:rPr>
          <w:rFonts w:ascii="Times New Roman" w:hAnsi="Times New Roman" w:cs="Times New Roman"/>
          <w:sz w:val="24"/>
          <w:szCs w:val="24"/>
        </w:rPr>
        <w:t>partnera KSOW</w:t>
      </w:r>
      <w:r w:rsidR="001152D4" w:rsidRPr="00050530">
        <w:rPr>
          <w:rFonts w:ascii="Times New Roman" w:hAnsi="Times New Roman" w:cs="Times New Roman"/>
          <w:sz w:val="24"/>
          <w:szCs w:val="24"/>
        </w:rPr>
        <w:t>.</w:t>
      </w:r>
    </w:p>
    <w:p w14:paraId="57D70E54" w14:textId="77777777" w:rsidR="00EA73BF" w:rsidRPr="00CF5D3E" w:rsidRDefault="00BB1FF5" w:rsidP="00D60E97">
      <w:pPr>
        <w:pStyle w:val="Nagwek1"/>
        <w:spacing w:before="60" w:after="60" w:line="276" w:lineRule="auto"/>
        <w:jc w:val="both"/>
        <w:rPr>
          <w:rFonts w:ascii="Times New Roman" w:hAnsi="Times New Roman"/>
          <w:color w:val="auto"/>
        </w:rPr>
      </w:pPr>
      <w:bookmarkStart w:id="3" w:name="_Toc10788487"/>
      <w:r w:rsidRPr="00CF5D3E">
        <w:rPr>
          <w:rFonts w:ascii="Times New Roman" w:hAnsi="Times New Roman"/>
          <w:color w:val="auto"/>
        </w:rPr>
        <w:t xml:space="preserve">III </w:t>
      </w:r>
      <w:r w:rsidR="00EA73BF" w:rsidRPr="00CF5D3E">
        <w:rPr>
          <w:rFonts w:ascii="Times New Roman" w:hAnsi="Times New Roman"/>
          <w:color w:val="auto"/>
        </w:rPr>
        <w:t>Typy działań możliwych do sfinansowania z pomocy technicznej</w:t>
      </w:r>
      <w:bookmarkEnd w:id="3"/>
    </w:p>
    <w:p w14:paraId="704D8587" w14:textId="77777777" w:rsidR="00EA73BF" w:rsidRPr="00C72062" w:rsidRDefault="0039156F" w:rsidP="001A2C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62">
        <w:rPr>
          <w:rFonts w:ascii="Times New Roman" w:hAnsi="Times New Roman" w:cs="Times New Roman"/>
          <w:b/>
          <w:sz w:val="24"/>
          <w:szCs w:val="24"/>
        </w:rPr>
        <w:t>Z</w:t>
      </w:r>
      <w:r w:rsidR="00EA73BF" w:rsidRPr="00C72062">
        <w:rPr>
          <w:rFonts w:ascii="Times New Roman" w:hAnsi="Times New Roman" w:cs="Times New Roman"/>
          <w:b/>
          <w:sz w:val="24"/>
          <w:szCs w:val="24"/>
        </w:rPr>
        <w:t>e środków pomocy technicznej mogą być finansowane przedsięwzięcia z zakresu:</w:t>
      </w:r>
    </w:p>
    <w:p w14:paraId="69088427" w14:textId="3EA1ACFE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zapewnienia odpowiedniego wsparcia dla instytucji odpowiedzialnych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 xml:space="preserve">za przygotowanie, zarządzanie, monitorowanie, </w:t>
      </w:r>
      <w:r w:rsidR="00CF5D3E">
        <w:rPr>
          <w:rFonts w:ascii="Times New Roman" w:hAnsi="Times New Roman" w:cs="Times New Roman"/>
          <w:sz w:val="24"/>
          <w:szCs w:val="24"/>
        </w:rPr>
        <w:t>ocenę</w:t>
      </w:r>
      <w:r w:rsidRPr="00D60E97">
        <w:rPr>
          <w:rFonts w:ascii="Times New Roman" w:hAnsi="Times New Roman" w:cs="Times New Roman"/>
          <w:sz w:val="24"/>
          <w:szCs w:val="24"/>
        </w:rPr>
        <w:t>, informację i komunikację, tworzenie sieci, rozpatrywanie skarg oraz kontrolę i audyt;</w:t>
      </w:r>
    </w:p>
    <w:p w14:paraId="06C2AC9B" w14:textId="09A1E03B" w:rsidR="00EA73BF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zapewnienia realizacji zadań objętych zakresem Krajowej Sieci Obszarów Wiejskich</w:t>
      </w:r>
      <w:r w:rsidR="00815DEE">
        <w:rPr>
          <w:rFonts w:ascii="Times New Roman" w:hAnsi="Times New Roman" w:cs="Times New Roman"/>
          <w:sz w:val="24"/>
          <w:szCs w:val="24"/>
        </w:rPr>
        <w:t xml:space="preserve"> (KSOW)</w:t>
      </w:r>
      <w:r w:rsidRPr="00D60E97">
        <w:rPr>
          <w:rFonts w:ascii="Times New Roman" w:hAnsi="Times New Roman" w:cs="Times New Roman"/>
          <w:sz w:val="24"/>
          <w:szCs w:val="24"/>
        </w:rPr>
        <w:t xml:space="preserve">, w tym </w:t>
      </w:r>
      <w:r w:rsidR="00676EB8">
        <w:rPr>
          <w:rFonts w:ascii="Times New Roman" w:hAnsi="Times New Roman" w:cs="Times New Roman"/>
          <w:sz w:val="24"/>
          <w:szCs w:val="24"/>
        </w:rPr>
        <w:t>S</w:t>
      </w:r>
      <w:r w:rsidRPr="00D60E97">
        <w:rPr>
          <w:rFonts w:ascii="Times New Roman" w:hAnsi="Times New Roman" w:cs="Times New Roman"/>
          <w:sz w:val="24"/>
          <w:szCs w:val="24"/>
        </w:rPr>
        <w:t>ieci na rzecz innowacji w rolnictwie i na obszarach wiejskich</w:t>
      </w:r>
      <w:r w:rsidR="00815DEE">
        <w:rPr>
          <w:rFonts w:ascii="Times New Roman" w:hAnsi="Times New Roman" w:cs="Times New Roman"/>
          <w:sz w:val="24"/>
          <w:szCs w:val="24"/>
        </w:rPr>
        <w:t xml:space="preserve"> (SIR)</w:t>
      </w:r>
      <w:r w:rsidRPr="00D60E97">
        <w:rPr>
          <w:rFonts w:ascii="Times New Roman" w:hAnsi="Times New Roman" w:cs="Times New Roman"/>
          <w:sz w:val="24"/>
          <w:szCs w:val="24"/>
        </w:rPr>
        <w:t xml:space="preserve">, wdrożenie sprawnego i efektywnego systemu informacji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>i promocji PROW</w:t>
      </w:r>
      <w:r w:rsidR="00394581">
        <w:rPr>
          <w:rFonts w:ascii="Times New Roman" w:hAnsi="Times New Roman" w:cs="Times New Roman"/>
          <w:sz w:val="24"/>
          <w:szCs w:val="24"/>
        </w:rPr>
        <w:t xml:space="preserve"> </w:t>
      </w:r>
      <w:r w:rsidR="00394581" w:rsidRPr="00394581">
        <w:rPr>
          <w:rFonts w:ascii="Times New Roman" w:hAnsi="Times New Roman" w:cs="Times New Roman"/>
          <w:sz w:val="24"/>
          <w:szCs w:val="24"/>
        </w:rPr>
        <w:t xml:space="preserve">2014-2020 </w:t>
      </w:r>
      <w:r w:rsidRPr="00D60E97">
        <w:rPr>
          <w:rFonts w:ascii="Times New Roman" w:hAnsi="Times New Roman" w:cs="Times New Roman"/>
          <w:sz w:val="24"/>
          <w:szCs w:val="24"/>
        </w:rPr>
        <w:t>oraz zapewnienie wspierania działań mających na celu wzmocnienie potencjału odpowiednich partnerów, zgodnie z art. 5 ust. 3 l</w:t>
      </w:r>
      <w:r w:rsidR="009005DB">
        <w:rPr>
          <w:rFonts w:ascii="Times New Roman" w:hAnsi="Times New Roman" w:cs="Times New Roman"/>
          <w:sz w:val="24"/>
          <w:szCs w:val="24"/>
        </w:rPr>
        <w:t>it</w:t>
      </w:r>
      <w:r w:rsidR="00311D70">
        <w:rPr>
          <w:rFonts w:ascii="Times New Roman" w:hAnsi="Times New Roman" w:cs="Times New Roman"/>
          <w:sz w:val="24"/>
          <w:szCs w:val="24"/>
        </w:rPr>
        <w:t>.</w:t>
      </w:r>
      <w:r w:rsidR="009005DB">
        <w:rPr>
          <w:rFonts w:ascii="Times New Roman" w:hAnsi="Times New Roman" w:cs="Times New Roman"/>
          <w:sz w:val="24"/>
          <w:szCs w:val="24"/>
        </w:rPr>
        <w:t xml:space="preserve"> e</w:t>
      </w:r>
      <w:r w:rsidRPr="00D60E97">
        <w:rPr>
          <w:rFonts w:ascii="Times New Roman" w:hAnsi="Times New Roman" w:cs="Times New Roman"/>
          <w:sz w:val="24"/>
          <w:szCs w:val="24"/>
        </w:rPr>
        <w:t xml:space="preserve"> rozporządzenia ramowego, w celu wspierania wymiany najlepszych praktyk pomiędzy takimi partnerami;</w:t>
      </w:r>
    </w:p>
    <w:p w14:paraId="75646104" w14:textId="77777777" w:rsidR="00971D47" w:rsidRPr="00971D47" w:rsidRDefault="00971D47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71D47">
        <w:rPr>
          <w:rFonts w:ascii="Times New Roman" w:hAnsi="Times New Roman" w:cs="Times New Roman"/>
          <w:sz w:val="24"/>
          <w:szCs w:val="24"/>
        </w:rPr>
        <w:t>zapewnienia zmniejszenia obciążenia administracyjnego dla beneficjentów, w tym działań takich jak systemy elektronicznej wymiany danych oraz wzmocnienie potencjału organów państwa członkowskiego i beneficjentów w zakresie zarządzania i wykorzystania funduszy;</w:t>
      </w:r>
    </w:p>
    <w:p w14:paraId="26EAC4D3" w14:textId="7ED4F72B" w:rsidR="00EA73BF" w:rsidRPr="00334241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34241">
        <w:rPr>
          <w:rFonts w:ascii="Times New Roman" w:hAnsi="Times New Roman" w:cs="Times New Roman"/>
          <w:sz w:val="24"/>
          <w:szCs w:val="24"/>
        </w:rPr>
        <w:t>zapewnienia finansowania kosztów związanych z pracami przygotowawczymi na potrzeby wytyczenia obszarów z ograniczeniami naturalnymi;</w:t>
      </w:r>
    </w:p>
    <w:p w14:paraId="178D9B8F" w14:textId="0558BE9E" w:rsidR="00EA73BF" w:rsidRPr="00334241" w:rsidRDefault="00EA73BF" w:rsidP="00602FCD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34241">
        <w:rPr>
          <w:rFonts w:ascii="Times New Roman" w:hAnsi="Times New Roman" w:cs="Times New Roman"/>
          <w:sz w:val="24"/>
          <w:szCs w:val="24"/>
        </w:rPr>
        <w:t>zapewnienia finansowania działań dotyczących poprzedzającego oraz kolejnego okresu programowania</w:t>
      </w:r>
      <w:r w:rsidR="00012141" w:rsidRPr="00334241">
        <w:rPr>
          <w:rFonts w:ascii="Times New Roman" w:hAnsi="Times New Roman" w:cs="Times New Roman"/>
          <w:sz w:val="24"/>
          <w:szCs w:val="24"/>
        </w:rPr>
        <w:t xml:space="preserve"> (w tym przygotowania planu strategicznego wspólnej polityki rolnej)</w:t>
      </w:r>
      <w:r w:rsidRPr="00334241">
        <w:rPr>
          <w:rFonts w:ascii="Times New Roman" w:hAnsi="Times New Roman" w:cs="Times New Roman"/>
          <w:sz w:val="24"/>
          <w:szCs w:val="24"/>
        </w:rPr>
        <w:t>.</w:t>
      </w:r>
    </w:p>
    <w:p w14:paraId="2E958CAD" w14:textId="0EE00870" w:rsidR="00EA73BF" w:rsidRPr="00C72062" w:rsidRDefault="007C62C3" w:rsidP="001A2C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62">
        <w:rPr>
          <w:rFonts w:ascii="Times New Roman" w:hAnsi="Times New Roman" w:cs="Times New Roman"/>
          <w:b/>
          <w:sz w:val="24"/>
          <w:szCs w:val="24"/>
        </w:rPr>
        <w:t>W</w:t>
      </w:r>
      <w:r w:rsidR="00EA73BF" w:rsidRPr="00C72062">
        <w:rPr>
          <w:rFonts w:ascii="Times New Roman" w:hAnsi="Times New Roman" w:cs="Times New Roman"/>
          <w:b/>
          <w:sz w:val="24"/>
          <w:szCs w:val="24"/>
        </w:rPr>
        <w:t xml:space="preserve"> ramach Schematu I </w:t>
      </w:r>
      <w:r w:rsidRPr="00C72062">
        <w:rPr>
          <w:rFonts w:ascii="Times New Roman" w:hAnsi="Times New Roman" w:cs="Times New Roman"/>
          <w:b/>
          <w:sz w:val="24"/>
          <w:szCs w:val="24"/>
        </w:rPr>
        <w:t xml:space="preserve">mogą być finansowane w szczególności przedsięwzięcia </w:t>
      </w:r>
      <w:r w:rsidR="00BF5BF9">
        <w:rPr>
          <w:rFonts w:ascii="Times New Roman" w:hAnsi="Times New Roman" w:cs="Times New Roman"/>
          <w:b/>
          <w:sz w:val="24"/>
          <w:szCs w:val="24"/>
        </w:rPr>
        <w:br/>
      </w:r>
      <w:r w:rsidRPr="00C72062">
        <w:rPr>
          <w:rFonts w:ascii="Times New Roman" w:hAnsi="Times New Roman" w:cs="Times New Roman"/>
          <w:b/>
          <w:sz w:val="24"/>
          <w:szCs w:val="24"/>
        </w:rPr>
        <w:t>z zakresu:</w:t>
      </w:r>
    </w:p>
    <w:p w14:paraId="3A428684" w14:textId="7777777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zatrudnienia pracowników instytucji zaangażowanych w realizację PROW 2014-2020;</w:t>
      </w:r>
    </w:p>
    <w:p w14:paraId="252F3C3D" w14:textId="7777777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kwalifikacji pracowników instytucji zaangażowanych w realizację PROW 2014-2020;</w:t>
      </w:r>
    </w:p>
    <w:p w14:paraId="2026B22D" w14:textId="5795587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kosztów organizacyjnych, technicznych i administracyjnych</w:t>
      </w:r>
      <w:r w:rsidR="00235799">
        <w:rPr>
          <w:rFonts w:ascii="Times New Roman" w:hAnsi="Times New Roman" w:cs="Times New Roman"/>
          <w:sz w:val="24"/>
          <w:szCs w:val="24"/>
        </w:rPr>
        <w:t>,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niezbędnych do zapewnienia sprawnego funkcjonowania instytucji zaangażowanych we wdrażanie PROW 2014-2020;</w:t>
      </w:r>
    </w:p>
    <w:p w14:paraId="078E1CCD" w14:textId="77777777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lastRenderedPageBreak/>
        <w:t>budow</w:t>
      </w:r>
      <w:r w:rsidR="00AB3198">
        <w:rPr>
          <w:rFonts w:ascii="Times New Roman" w:hAnsi="Times New Roman" w:cs="Times New Roman"/>
          <w:sz w:val="24"/>
          <w:szCs w:val="24"/>
        </w:rPr>
        <w:t>y</w:t>
      </w:r>
      <w:r w:rsidRPr="00D60E97">
        <w:rPr>
          <w:rFonts w:ascii="Times New Roman" w:hAnsi="Times New Roman" w:cs="Times New Roman"/>
          <w:sz w:val="24"/>
          <w:szCs w:val="24"/>
        </w:rPr>
        <w:t>, wdrożeni</w:t>
      </w:r>
      <w:r w:rsidR="00AB3198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i utrzymani</w:t>
      </w:r>
      <w:r w:rsidR="00AB3198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systemów informatycznych (wraz z niezbędną infrastrukturą teleinformatyczną) obsługujących i wspierających realizację PROW 2014-2020;</w:t>
      </w:r>
    </w:p>
    <w:p w14:paraId="71F39DA4" w14:textId="77777777" w:rsidR="00EA73BF" w:rsidRPr="00D60E97" w:rsidRDefault="007C62C3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</w:t>
      </w:r>
      <w:r w:rsidR="00AB3198">
        <w:rPr>
          <w:rFonts w:ascii="Times New Roman" w:hAnsi="Times New Roman" w:cs="Times New Roman"/>
          <w:sz w:val="24"/>
          <w:szCs w:val="24"/>
        </w:rPr>
        <w:t>i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posiedzeń KM i jego grup roboczych;</w:t>
      </w:r>
    </w:p>
    <w:p w14:paraId="29F38D1F" w14:textId="46AA2528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wsparci</w:t>
      </w:r>
      <w:r w:rsidR="00AB3198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procesów wyboru </w:t>
      </w:r>
      <w:r w:rsidR="00235799">
        <w:rPr>
          <w:rFonts w:ascii="Times New Roman" w:hAnsi="Times New Roman" w:cs="Times New Roman"/>
          <w:sz w:val="24"/>
          <w:szCs w:val="24"/>
        </w:rPr>
        <w:t>operacji</w:t>
      </w:r>
      <w:r w:rsidRPr="00D60E97">
        <w:rPr>
          <w:rFonts w:ascii="Times New Roman" w:hAnsi="Times New Roman" w:cs="Times New Roman"/>
          <w:sz w:val="24"/>
          <w:szCs w:val="24"/>
        </w:rPr>
        <w:t>, monitorowania, kontroli, audytu, odzyskiwania środków, procedur odwoławczych;</w:t>
      </w:r>
    </w:p>
    <w:p w14:paraId="7F79B181" w14:textId="0860444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i przeprowadzenie analiz, badań, ewaluacji, sprawozdań, opinii prawnych, doradztwa prawnego oraz finansowanie </w:t>
      </w:r>
      <w:r w:rsidR="00815DEE">
        <w:rPr>
          <w:rFonts w:ascii="Times New Roman" w:hAnsi="Times New Roman" w:cs="Times New Roman"/>
          <w:sz w:val="24"/>
          <w:szCs w:val="24"/>
        </w:rPr>
        <w:t>usług/wsparcia ze strony</w:t>
      </w:r>
      <w:r w:rsidR="00815DEE" w:rsidRPr="00D60E97"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D60E97">
        <w:rPr>
          <w:rFonts w:ascii="Times New Roman" w:hAnsi="Times New Roman" w:cs="Times New Roman"/>
          <w:sz w:val="24"/>
          <w:szCs w:val="24"/>
        </w:rPr>
        <w:t>ekspertów zewnętrznych;</w:t>
      </w:r>
    </w:p>
    <w:p w14:paraId="7A9B9A7F" w14:textId="351F1909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zamykani</w:t>
      </w:r>
      <w:r w:rsidR="00F64FA9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perspektywy 2007-2013;</w:t>
      </w:r>
    </w:p>
    <w:p w14:paraId="3E82E50F" w14:textId="17C4ABB8" w:rsidR="00285661" w:rsidRPr="00602FCD" w:rsidRDefault="00AB3198" w:rsidP="00012141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A2E84">
        <w:rPr>
          <w:rFonts w:ascii="Times New Roman" w:hAnsi="Times New Roman" w:cs="Times New Roman"/>
          <w:sz w:val="24"/>
          <w:szCs w:val="24"/>
        </w:rPr>
        <w:t>przygotowania</w:t>
      </w:r>
      <w:r w:rsidR="00EA73BF" w:rsidRPr="006A2E84">
        <w:rPr>
          <w:rFonts w:ascii="Times New Roman" w:hAnsi="Times New Roman" w:cs="Times New Roman"/>
          <w:sz w:val="24"/>
          <w:szCs w:val="24"/>
        </w:rPr>
        <w:t xml:space="preserve"> pers</w:t>
      </w:r>
      <w:r w:rsidR="001242E5" w:rsidRPr="006A2E84">
        <w:rPr>
          <w:rFonts w:ascii="Times New Roman" w:hAnsi="Times New Roman" w:cs="Times New Roman"/>
          <w:sz w:val="24"/>
          <w:szCs w:val="24"/>
        </w:rPr>
        <w:t xml:space="preserve">pektywy finansowej po 2020 roku </w:t>
      </w:r>
      <w:r w:rsidR="00012141" w:rsidRPr="00602FCD">
        <w:rPr>
          <w:rFonts w:ascii="Times New Roman" w:hAnsi="Times New Roman" w:cs="Times New Roman"/>
          <w:sz w:val="24"/>
          <w:szCs w:val="24"/>
        </w:rPr>
        <w:t>(w tym przygotowania planu strategicznego wspólnej polityki rolnej).</w:t>
      </w:r>
    </w:p>
    <w:p w14:paraId="3E9A5215" w14:textId="5CFBA839" w:rsidR="00EA73BF" w:rsidRPr="00974E78" w:rsidRDefault="00974E78" w:rsidP="00974E78">
      <w:pPr>
        <w:autoSpaceDE w:val="0"/>
        <w:autoSpaceDN w:val="0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42E5" w:rsidRPr="00974E78">
        <w:rPr>
          <w:rFonts w:ascii="Times New Roman" w:hAnsi="Times New Roman" w:cs="Times New Roman"/>
          <w:sz w:val="24"/>
          <w:szCs w:val="24"/>
        </w:rPr>
        <w:t>zczeg</w:t>
      </w:r>
      <w:r w:rsidR="00285661" w:rsidRPr="00974E78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>owa lista kosztów oraz ich opis przedstawion</w:t>
      </w:r>
      <w:r w:rsidR="00815D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815DE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rozdziale IV. </w:t>
      </w:r>
    </w:p>
    <w:p w14:paraId="414BBD1B" w14:textId="3DB9CD67" w:rsidR="00EA73BF" w:rsidRPr="00C72062" w:rsidRDefault="007C62C3" w:rsidP="001A2C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62">
        <w:rPr>
          <w:rFonts w:ascii="Times New Roman" w:hAnsi="Times New Roman" w:cs="Times New Roman"/>
          <w:b/>
          <w:sz w:val="24"/>
          <w:szCs w:val="24"/>
        </w:rPr>
        <w:t>W</w:t>
      </w:r>
      <w:r w:rsidR="00EA73BF" w:rsidRPr="00C72062">
        <w:rPr>
          <w:rFonts w:ascii="Times New Roman" w:hAnsi="Times New Roman" w:cs="Times New Roman"/>
          <w:b/>
          <w:sz w:val="24"/>
          <w:szCs w:val="24"/>
        </w:rPr>
        <w:t xml:space="preserve"> ramach Schematu II </w:t>
      </w:r>
      <w:r w:rsidRPr="00C72062">
        <w:rPr>
          <w:rFonts w:ascii="Times New Roman" w:hAnsi="Times New Roman" w:cs="Times New Roman"/>
          <w:b/>
          <w:sz w:val="24"/>
          <w:szCs w:val="24"/>
        </w:rPr>
        <w:t xml:space="preserve">mogą być finansowane w szczególności przedsięwzięcia </w:t>
      </w:r>
      <w:r w:rsidR="00BF5BF9">
        <w:rPr>
          <w:rFonts w:ascii="Times New Roman" w:hAnsi="Times New Roman" w:cs="Times New Roman"/>
          <w:b/>
          <w:sz w:val="24"/>
          <w:szCs w:val="24"/>
        </w:rPr>
        <w:br/>
      </w:r>
      <w:r w:rsidRPr="00C72062">
        <w:rPr>
          <w:rFonts w:ascii="Times New Roman" w:hAnsi="Times New Roman" w:cs="Times New Roman"/>
          <w:b/>
          <w:sz w:val="24"/>
          <w:szCs w:val="24"/>
        </w:rPr>
        <w:t>z zakresu:</w:t>
      </w:r>
    </w:p>
    <w:p w14:paraId="11A2879C" w14:textId="77777777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wsparcia funkcjonowania</w:t>
      </w:r>
      <w:r w:rsidR="00A02976">
        <w:rPr>
          <w:rFonts w:ascii="Times New Roman" w:hAnsi="Times New Roman" w:cs="Times New Roman"/>
          <w:sz w:val="24"/>
          <w:szCs w:val="24"/>
        </w:rPr>
        <w:t xml:space="preserve"> KSOW</w:t>
      </w:r>
      <w:r w:rsidRPr="00D60E97">
        <w:rPr>
          <w:rFonts w:ascii="Times New Roman" w:hAnsi="Times New Roman" w:cs="Times New Roman"/>
          <w:sz w:val="24"/>
          <w:szCs w:val="24"/>
        </w:rPr>
        <w:t>:</w:t>
      </w:r>
    </w:p>
    <w:p w14:paraId="23391423" w14:textId="77777777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wsparcie zatrudnienia pracowników instytucji zaangażowanych w realizację KSOW w ramach PROW 2014-2020;</w:t>
      </w:r>
    </w:p>
    <w:p w14:paraId="5FC6397C" w14:textId="7EDA336A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podnoszenie kwalifikacji pracowników instytucji zaangażowanych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>w realizację KSOW w ramach PROW 2014-2020;</w:t>
      </w:r>
    </w:p>
    <w:p w14:paraId="529841C8" w14:textId="0F1EA223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finansowanie kosztów organizacyjnych, technicznych i administracyjnych</w:t>
      </w:r>
      <w:r w:rsidR="00815DEE">
        <w:rPr>
          <w:rFonts w:ascii="Times New Roman" w:hAnsi="Times New Roman" w:cs="Times New Roman"/>
          <w:sz w:val="24"/>
          <w:szCs w:val="24"/>
        </w:rPr>
        <w:t>,</w:t>
      </w:r>
      <w:r w:rsidRPr="00D60E97">
        <w:rPr>
          <w:rFonts w:ascii="Times New Roman" w:hAnsi="Times New Roman" w:cs="Times New Roman"/>
          <w:sz w:val="24"/>
          <w:szCs w:val="24"/>
        </w:rPr>
        <w:t xml:space="preserve"> niezbędnych do zapewnienia sprawnego funkcjonowania instytucji zaangażowanych we wdrażanie KSOW w ramach PROW 2014-2020;</w:t>
      </w:r>
    </w:p>
    <w:p w14:paraId="36207989" w14:textId="3A10F807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budowa, wdrożenie i utrzymanie systemów informatycznych (wraz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>z niezbędną infrastrukturą teleinformatyczną) obsługujących i wspierających realizację KSOW w ramach PROW 2014-2020;</w:t>
      </w:r>
    </w:p>
    <w:p w14:paraId="16E35B7B" w14:textId="77777777" w:rsidR="00EA73BF" w:rsidRPr="00D60E97" w:rsidRDefault="0008528D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posiedzeń Grupy Roboczej ds. KSOW i grup tematycznych;</w:t>
      </w:r>
    </w:p>
    <w:p w14:paraId="2B3947F0" w14:textId="3AB9FFE4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wsparcie procesów wyboru </w:t>
      </w:r>
      <w:r w:rsidR="00815DEE">
        <w:rPr>
          <w:rFonts w:ascii="Times New Roman" w:hAnsi="Times New Roman" w:cs="Times New Roman"/>
          <w:sz w:val="24"/>
          <w:szCs w:val="24"/>
        </w:rPr>
        <w:t>operacji</w:t>
      </w:r>
      <w:r w:rsidRPr="00D60E97">
        <w:rPr>
          <w:rFonts w:ascii="Times New Roman" w:hAnsi="Times New Roman" w:cs="Times New Roman"/>
          <w:sz w:val="24"/>
          <w:szCs w:val="24"/>
        </w:rPr>
        <w:t>, monitorowania, kontroli, audytu, odzyskiwania środków, procedur odwoławczych;</w:t>
      </w:r>
    </w:p>
    <w:p w14:paraId="4F899C40" w14:textId="0C9A984F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przygotowanie i przeprowadzenie analiz, badań, ewaluacji, sprawozdań, opinii prawnych, doradztwa prawnego oraz finansowanie </w:t>
      </w:r>
      <w:r w:rsidR="00815DEE">
        <w:rPr>
          <w:rFonts w:ascii="Times New Roman" w:hAnsi="Times New Roman" w:cs="Times New Roman"/>
          <w:sz w:val="24"/>
          <w:szCs w:val="24"/>
        </w:rPr>
        <w:t>usług/wsparcia ze strony</w:t>
      </w:r>
      <w:r w:rsidR="00815DEE" w:rsidRPr="00D60E97">
        <w:rPr>
          <w:rFonts w:ascii="Times New Roman" w:hAnsi="Times New Roman" w:cs="Times New Roman"/>
          <w:sz w:val="24"/>
          <w:szCs w:val="24"/>
        </w:rPr>
        <w:t xml:space="preserve"> </w:t>
      </w:r>
      <w:r w:rsidRPr="00D60E97">
        <w:rPr>
          <w:rFonts w:ascii="Times New Roman" w:hAnsi="Times New Roman" w:cs="Times New Roman"/>
          <w:sz w:val="24"/>
          <w:szCs w:val="24"/>
        </w:rPr>
        <w:t>ekspertów zewnętrznych;</w:t>
      </w:r>
    </w:p>
    <w:p w14:paraId="6D3C29D3" w14:textId="7A04E05F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zamykanie perspektywy 2007-2013;</w:t>
      </w:r>
    </w:p>
    <w:p w14:paraId="381D770B" w14:textId="448B97B3" w:rsidR="00EA73BF" w:rsidRPr="00602FCD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A2E84">
        <w:rPr>
          <w:rFonts w:ascii="Times New Roman" w:hAnsi="Times New Roman" w:cs="Times New Roman"/>
          <w:sz w:val="24"/>
          <w:szCs w:val="24"/>
        </w:rPr>
        <w:t>przygotowanie perspektywy finansowej po 2020 roku</w:t>
      </w:r>
      <w:r w:rsidR="00012141" w:rsidRPr="006A2E84">
        <w:t xml:space="preserve"> (</w:t>
      </w:r>
      <w:r w:rsidR="00012141" w:rsidRPr="00602FCD">
        <w:rPr>
          <w:rFonts w:ascii="Times New Roman" w:hAnsi="Times New Roman" w:cs="Times New Roman"/>
          <w:sz w:val="24"/>
          <w:szCs w:val="24"/>
        </w:rPr>
        <w:t>w tym przygotowania planu strategicznego wspólnej polityki rolnej)</w:t>
      </w:r>
      <w:r w:rsidRPr="00602FCD">
        <w:rPr>
          <w:rFonts w:ascii="Times New Roman" w:hAnsi="Times New Roman" w:cs="Times New Roman"/>
          <w:sz w:val="24"/>
          <w:szCs w:val="24"/>
        </w:rPr>
        <w:t>;</w:t>
      </w:r>
    </w:p>
    <w:p w14:paraId="5D6CB058" w14:textId="77777777" w:rsidR="00EA73BF" w:rsidRPr="00085761" w:rsidRDefault="00EA73BF" w:rsidP="00704340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realizacji Planu </w:t>
      </w:r>
      <w:r w:rsidR="00676EB8">
        <w:rPr>
          <w:rFonts w:ascii="Times New Roman" w:hAnsi="Times New Roman" w:cs="Times New Roman"/>
          <w:sz w:val="24"/>
          <w:szCs w:val="24"/>
        </w:rPr>
        <w:t>działania</w:t>
      </w:r>
      <w:r w:rsidRPr="00085761">
        <w:rPr>
          <w:rFonts w:ascii="Times New Roman" w:hAnsi="Times New Roman" w:cs="Times New Roman"/>
          <w:sz w:val="24"/>
          <w:szCs w:val="24"/>
        </w:rPr>
        <w:t xml:space="preserve"> KSOW na lata 2014-2020</w:t>
      </w:r>
      <w:r w:rsidR="008B1293">
        <w:rPr>
          <w:rFonts w:ascii="Times New Roman" w:hAnsi="Times New Roman" w:cs="Times New Roman"/>
          <w:sz w:val="24"/>
          <w:szCs w:val="24"/>
        </w:rPr>
        <w:t xml:space="preserve"> w ramach dwuletnich planów operacyjnych obejmujące</w:t>
      </w:r>
      <w:r w:rsidRPr="00085761">
        <w:rPr>
          <w:rFonts w:ascii="Times New Roman" w:hAnsi="Times New Roman" w:cs="Times New Roman"/>
          <w:sz w:val="24"/>
          <w:szCs w:val="24"/>
        </w:rPr>
        <w:t>:</w:t>
      </w:r>
    </w:p>
    <w:p w14:paraId="2DB60785" w14:textId="77777777" w:rsidR="00576E95" w:rsidRPr="00D60E97" w:rsidRDefault="00EA73BF" w:rsidP="007043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koszty dostaw i usług, w tym wynagrodzenia bezosobowe</w:t>
      </w:r>
      <w:r w:rsidR="00576E95" w:rsidRPr="00D60E97">
        <w:rPr>
          <w:rFonts w:ascii="Times New Roman" w:hAnsi="Times New Roman" w:cs="Times New Roman"/>
          <w:sz w:val="24"/>
          <w:szCs w:val="24"/>
        </w:rPr>
        <w:t>;</w:t>
      </w:r>
    </w:p>
    <w:p w14:paraId="3B4B5434" w14:textId="282087A9" w:rsidR="00EA73BF" w:rsidRPr="00D60E97" w:rsidRDefault="00EA73BF" w:rsidP="007043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koszty podróży służbowych pracowników podmiotu uprawnionego oraz przejazdów, dojazdów środkami komunikacji miejscowej i noclegów poniesionych przez inne osoby w związku z realizacją operacji;</w:t>
      </w:r>
    </w:p>
    <w:p w14:paraId="53EA3564" w14:textId="77777777" w:rsidR="00EA73BF" w:rsidRPr="001A2CA6" w:rsidRDefault="00EA73BF" w:rsidP="007043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koszty nagród finansowych dla laureatów konkursów</w:t>
      </w:r>
      <w:r w:rsidRPr="001A2CA6">
        <w:rPr>
          <w:rFonts w:ascii="Times New Roman" w:hAnsi="Times New Roman" w:cs="Times New Roman"/>
          <w:sz w:val="24"/>
          <w:szCs w:val="24"/>
        </w:rPr>
        <w:t>.</w:t>
      </w:r>
    </w:p>
    <w:p w14:paraId="5B0F29BF" w14:textId="5F673805" w:rsidR="00085761" w:rsidRPr="00085761" w:rsidRDefault="00085761" w:rsidP="0008576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Szczegółowa lista kosztów oraz ich opis przedstawion</w:t>
      </w:r>
      <w:r w:rsidR="00B6584B">
        <w:rPr>
          <w:rFonts w:ascii="Times New Roman" w:hAnsi="Times New Roman" w:cs="Times New Roman"/>
          <w:sz w:val="24"/>
          <w:szCs w:val="24"/>
        </w:rPr>
        <w:t>e</w:t>
      </w:r>
      <w:r w:rsidRPr="00085761">
        <w:rPr>
          <w:rFonts w:ascii="Times New Roman" w:hAnsi="Times New Roman" w:cs="Times New Roman"/>
          <w:sz w:val="24"/>
          <w:szCs w:val="24"/>
        </w:rPr>
        <w:t xml:space="preserve"> został</w:t>
      </w:r>
      <w:r w:rsidR="00B6584B">
        <w:rPr>
          <w:rFonts w:ascii="Times New Roman" w:hAnsi="Times New Roman" w:cs="Times New Roman"/>
          <w:sz w:val="24"/>
          <w:szCs w:val="24"/>
        </w:rPr>
        <w:t>y</w:t>
      </w:r>
      <w:r w:rsidRPr="00085761">
        <w:rPr>
          <w:rFonts w:ascii="Times New Roman" w:hAnsi="Times New Roman" w:cs="Times New Roman"/>
          <w:sz w:val="24"/>
          <w:szCs w:val="24"/>
        </w:rPr>
        <w:t xml:space="preserve"> w rozdziale IV</w:t>
      </w:r>
      <w:r w:rsidR="00881B1D">
        <w:rPr>
          <w:rFonts w:ascii="Times New Roman" w:hAnsi="Times New Roman" w:cs="Times New Roman"/>
          <w:sz w:val="24"/>
          <w:szCs w:val="24"/>
        </w:rPr>
        <w:t xml:space="preserve"> i V</w:t>
      </w:r>
      <w:r w:rsidRPr="00085761">
        <w:rPr>
          <w:rFonts w:ascii="Times New Roman" w:hAnsi="Times New Roman" w:cs="Times New Roman"/>
          <w:sz w:val="24"/>
          <w:szCs w:val="24"/>
        </w:rPr>
        <w:t>.</w:t>
      </w:r>
    </w:p>
    <w:p w14:paraId="6FC17E38" w14:textId="77777777" w:rsidR="00EA73BF" w:rsidRPr="00085761" w:rsidRDefault="00BB1FF5" w:rsidP="00085761">
      <w:pPr>
        <w:pStyle w:val="Nagwek1"/>
        <w:spacing w:before="60" w:after="60" w:line="276" w:lineRule="auto"/>
        <w:jc w:val="both"/>
        <w:rPr>
          <w:rFonts w:ascii="Times New Roman" w:hAnsi="Times New Roman"/>
          <w:color w:val="auto"/>
        </w:rPr>
      </w:pPr>
      <w:bookmarkStart w:id="4" w:name="_Toc10788488"/>
      <w:r w:rsidRPr="00085761">
        <w:rPr>
          <w:rFonts w:ascii="Times New Roman" w:hAnsi="Times New Roman"/>
          <w:color w:val="auto"/>
        </w:rPr>
        <w:lastRenderedPageBreak/>
        <w:t xml:space="preserve">IV </w:t>
      </w:r>
      <w:r w:rsidR="00EA73BF" w:rsidRPr="00085761">
        <w:rPr>
          <w:rFonts w:ascii="Times New Roman" w:hAnsi="Times New Roman"/>
          <w:color w:val="auto"/>
        </w:rPr>
        <w:t>Koszty podlegające refundacji w ramach schematu I</w:t>
      </w:r>
      <w:r w:rsidR="00285661" w:rsidRPr="00085761">
        <w:rPr>
          <w:rFonts w:ascii="Times New Roman" w:hAnsi="Times New Roman"/>
          <w:color w:val="auto"/>
        </w:rPr>
        <w:t xml:space="preserve"> </w:t>
      </w:r>
      <w:r w:rsidR="00BF2B90">
        <w:rPr>
          <w:rFonts w:ascii="Times New Roman" w:hAnsi="Times New Roman"/>
          <w:color w:val="auto"/>
        </w:rPr>
        <w:br/>
      </w:r>
      <w:r w:rsidR="007701FC" w:rsidRPr="00085761">
        <w:rPr>
          <w:rFonts w:ascii="Times New Roman" w:hAnsi="Times New Roman"/>
          <w:color w:val="auto"/>
        </w:rPr>
        <w:t>oraz</w:t>
      </w:r>
      <w:r w:rsidR="00285661" w:rsidRPr="00085761">
        <w:rPr>
          <w:rFonts w:ascii="Times New Roman" w:hAnsi="Times New Roman"/>
          <w:color w:val="auto"/>
        </w:rPr>
        <w:t xml:space="preserve"> schemat</w:t>
      </w:r>
      <w:r w:rsidR="007701FC" w:rsidRPr="00085761">
        <w:rPr>
          <w:rFonts w:ascii="Times New Roman" w:hAnsi="Times New Roman"/>
          <w:color w:val="auto"/>
        </w:rPr>
        <w:t>u</w:t>
      </w:r>
      <w:r w:rsidR="00BF2B90">
        <w:rPr>
          <w:rFonts w:ascii="Times New Roman" w:hAnsi="Times New Roman"/>
          <w:color w:val="auto"/>
        </w:rPr>
        <w:t xml:space="preserve">  II (</w:t>
      </w:r>
      <w:r w:rsidR="00285661" w:rsidRPr="00085761">
        <w:rPr>
          <w:rFonts w:ascii="Times New Roman" w:hAnsi="Times New Roman"/>
          <w:color w:val="auto"/>
        </w:rPr>
        <w:t>w zakresie wsparcia funkcjonowania krajowej sieci obszarów wiejskich</w:t>
      </w:r>
      <w:r w:rsidR="00BF2B90">
        <w:rPr>
          <w:rFonts w:ascii="Times New Roman" w:hAnsi="Times New Roman"/>
          <w:color w:val="auto"/>
        </w:rPr>
        <w:t>)</w:t>
      </w:r>
      <w:bookmarkEnd w:id="4"/>
    </w:p>
    <w:p w14:paraId="6D141185" w14:textId="15DD0DFC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Koszty kwalifikowalne podlegające refundacji zostały określone w § 3 rozporządzenia o PT. Zgodnie z ww. rozporządzeniem do kosztów kwalifikowalnych </w:t>
      </w:r>
      <w:r w:rsidR="00D36A02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085761">
        <w:rPr>
          <w:rFonts w:ascii="Times New Roman" w:hAnsi="Times New Roman" w:cs="Times New Roman"/>
          <w:sz w:val="24"/>
          <w:szCs w:val="24"/>
        </w:rPr>
        <w:t xml:space="preserve">schematu I oraz </w:t>
      </w:r>
      <w:r w:rsidR="00D36A02" w:rsidRPr="00085761">
        <w:rPr>
          <w:rFonts w:ascii="Times New Roman" w:hAnsi="Times New Roman" w:cs="Times New Roman"/>
          <w:sz w:val="24"/>
          <w:szCs w:val="24"/>
        </w:rPr>
        <w:t xml:space="preserve">w zakresie wsparcia funkcjonowania </w:t>
      </w:r>
      <w:r w:rsidR="00B6584B">
        <w:rPr>
          <w:rFonts w:ascii="Times New Roman" w:hAnsi="Times New Roman" w:cs="Times New Roman"/>
          <w:sz w:val="24"/>
          <w:szCs w:val="24"/>
        </w:rPr>
        <w:t xml:space="preserve">KSOW w ramach </w:t>
      </w:r>
      <w:r w:rsidRPr="00085761">
        <w:rPr>
          <w:rFonts w:ascii="Times New Roman" w:hAnsi="Times New Roman" w:cs="Times New Roman"/>
          <w:sz w:val="24"/>
          <w:szCs w:val="24"/>
        </w:rPr>
        <w:t>schematu II</w:t>
      </w:r>
      <w:r w:rsidR="00D36A02">
        <w:rPr>
          <w:rFonts w:ascii="Times New Roman" w:hAnsi="Times New Roman" w:cs="Times New Roman"/>
          <w:sz w:val="24"/>
          <w:szCs w:val="24"/>
        </w:rPr>
        <w:t xml:space="preserve"> zalicza się:</w:t>
      </w:r>
    </w:p>
    <w:p w14:paraId="35F0F9CD" w14:textId="15D2FA1E" w:rsidR="00C622C2" w:rsidRPr="000F6A30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E">
        <w:rPr>
          <w:rFonts w:ascii="Times New Roman" w:hAnsi="Times New Roman" w:cs="Times New Roman"/>
          <w:b/>
          <w:sz w:val="24"/>
          <w:szCs w:val="24"/>
        </w:rPr>
        <w:t>Wynagrodzenia pracowników podmiotu uprawnionego oraz inn</w:t>
      </w:r>
      <w:r w:rsidR="00E94F8C" w:rsidRPr="002F1BAE">
        <w:rPr>
          <w:rFonts w:ascii="Times New Roman" w:hAnsi="Times New Roman" w:cs="Times New Roman"/>
          <w:b/>
          <w:sz w:val="24"/>
          <w:szCs w:val="24"/>
        </w:rPr>
        <w:t>e</w:t>
      </w:r>
      <w:r w:rsidRPr="002F1BAE">
        <w:rPr>
          <w:rFonts w:ascii="Times New Roman" w:hAnsi="Times New Roman" w:cs="Times New Roman"/>
          <w:b/>
          <w:sz w:val="24"/>
          <w:szCs w:val="24"/>
        </w:rPr>
        <w:t xml:space="preserve"> świadcze</w:t>
      </w:r>
      <w:r w:rsidR="00E94F8C" w:rsidRPr="002F1BAE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Pr="00AD7CAB">
        <w:rPr>
          <w:rFonts w:ascii="Times New Roman" w:hAnsi="Times New Roman" w:cs="Times New Roman"/>
          <w:b/>
          <w:sz w:val="24"/>
          <w:szCs w:val="24"/>
        </w:rPr>
        <w:t>pieniężn</w:t>
      </w:r>
      <w:r w:rsidR="00E94F8C" w:rsidRPr="00AD7CAB">
        <w:rPr>
          <w:rFonts w:ascii="Times New Roman" w:hAnsi="Times New Roman" w:cs="Times New Roman"/>
          <w:b/>
          <w:sz w:val="24"/>
          <w:szCs w:val="24"/>
        </w:rPr>
        <w:t>e</w:t>
      </w:r>
      <w:r w:rsidRPr="00AD7CAB">
        <w:rPr>
          <w:rFonts w:ascii="Times New Roman" w:hAnsi="Times New Roman" w:cs="Times New Roman"/>
          <w:b/>
          <w:sz w:val="24"/>
          <w:szCs w:val="24"/>
        </w:rPr>
        <w:t xml:space="preserve"> przyznawan</w:t>
      </w:r>
      <w:r w:rsidR="00E94F8C" w:rsidRPr="00AD7CAB">
        <w:rPr>
          <w:rFonts w:ascii="Times New Roman" w:hAnsi="Times New Roman" w:cs="Times New Roman"/>
          <w:b/>
          <w:sz w:val="24"/>
          <w:szCs w:val="24"/>
        </w:rPr>
        <w:t>e</w:t>
      </w:r>
      <w:r w:rsidRPr="00AD7CAB">
        <w:rPr>
          <w:rFonts w:ascii="Times New Roman" w:hAnsi="Times New Roman" w:cs="Times New Roman"/>
          <w:b/>
          <w:sz w:val="24"/>
          <w:szCs w:val="24"/>
        </w:rPr>
        <w:t xml:space="preserve"> pracownikom podmiotu uprawionego w związku </w:t>
      </w:r>
      <w:r w:rsidR="008A572D">
        <w:rPr>
          <w:rFonts w:ascii="Times New Roman" w:hAnsi="Times New Roman" w:cs="Times New Roman"/>
          <w:b/>
          <w:sz w:val="24"/>
          <w:szCs w:val="24"/>
        </w:rPr>
        <w:br/>
      </w:r>
      <w:r w:rsidRPr="00AD7CAB">
        <w:rPr>
          <w:rFonts w:ascii="Times New Roman" w:hAnsi="Times New Roman" w:cs="Times New Roman"/>
          <w:b/>
          <w:sz w:val="24"/>
          <w:szCs w:val="24"/>
        </w:rPr>
        <w:t>z wykonywaną pracą wraz ze składkami na ubezpieczenia społeczne, płaconymi przez pracodawcę, oraz składkami na Fundusz Pracy i Fundusz Gwarantowanych Świadczeń Pracowniczych</w:t>
      </w:r>
      <w:r w:rsidR="00C622C2" w:rsidRPr="000F6A30">
        <w:rPr>
          <w:rFonts w:ascii="Times New Roman" w:hAnsi="Times New Roman" w:cs="Times New Roman"/>
          <w:b/>
          <w:sz w:val="24"/>
          <w:szCs w:val="24"/>
        </w:rPr>
        <w:t>.</w:t>
      </w:r>
    </w:p>
    <w:p w14:paraId="78AC0942" w14:textId="77777777" w:rsidR="00985CF1" w:rsidRPr="00050530" w:rsidRDefault="008A7C80" w:rsidP="00312A8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K</w:t>
      </w:r>
      <w:r w:rsidR="00985CF1" w:rsidRPr="00050530">
        <w:rPr>
          <w:rFonts w:ascii="Times New Roman" w:hAnsi="Times New Roman" w:cs="Times New Roman"/>
          <w:sz w:val="24"/>
          <w:szCs w:val="24"/>
        </w:rPr>
        <w:t xml:space="preserve">oszty mogą być uznane za kwalifikowalne, jeżeli pracownik wykonywał zadania kwalifikowalne przez co najmniej 50% swojego czasu pracy w danym miesiącu, przy czym kwota kwalifikowalna określana jest zgodnie z zasadą proporcjonalności. </w:t>
      </w:r>
    </w:p>
    <w:p w14:paraId="7AEC165E" w14:textId="7BAE511C" w:rsidR="00985CF1" w:rsidRPr="00050530" w:rsidRDefault="00985CF1" w:rsidP="00312A8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Wymóg dotyczący minimum 50% zaangażowania pracownika w realizację zadań kwalifikowanych nie dotyczy kosztów poniesionych przez podmiot uprawniony przed wejściem w życie rozporządzenia o PT</w:t>
      </w:r>
      <w:r w:rsidR="00555557">
        <w:rPr>
          <w:rFonts w:ascii="Times New Roman" w:hAnsi="Times New Roman" w:cs="Times New Roman"/>
          <w:sz w:val="24"/>
          <w:szCs w:val="24"/>
        </w:rPr>
        <w:t>,</w:t>
      </w:r>
      <w:r w:rsidRPr="00050530">
        <w:rPr>
          <w:rFonts w:ascii="Times New Roman" w:hAnsi="Times New Roman" w:cs="Times New Roman"/>
          <w:sz w:val="24"/>
          <w:szCs w:val="24"/>
        </w:rPr>
        <w:t xml:space="preserve"> tj. przed dniem 5 października 2016 r. Ni</w:t>
      </w:r>
      <w:r w:rsidR="00C84214" w:rsidRPr="00050530">
        <w:rPr>
          <w:rFonts w:ascii="Times New Roman" w:hAnsi="Times New Roman" w:cs="Times New Roman"/>
          <w:sz w:val="24"/>
          <w:szCs w:val="24"/>
        </w:rPr>
        <w:t xml:space="preserve">emniej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C84214" w:rsidRPr="00050530">
        <w:rPr>
          <w:rFonts w:ascii="Times New Roman" w:hAnsi="Times New Roman" w:cs="Times New Roman"/>
          <w:sz w:val="24"/>
          <w:szCs w:val="24"/>
        </w:rPr>
        <w:t>w okresie tym kwota kwalifikowalna określana jest zgodnie z zasadą proporcjonalności</w:t>
      </w:r>
      <w:r w:rsidRPr="00050530">
        <w:rPr>
          <w:rFonts w:ascii="Times New Roman" w:hAnsi="Times New Roman" w:cs="Times New Roman"/>
          <w:sz w:val="24"/>
          <w:szCs w:val="24"/>
        </w:rPr>
        <w:t>.</w:t>
      </w:r>
    </w:p>
    <w:p w14:paraId="33F00583" w14:textId="0A7A24C0" w:rsidR="009E348F" w:rsidRPr="00050530" w:rsidRDefault="00985CF1" w:rsidP="00312A8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Odstępstw</w:t>
      </w:r>
      <w:r w:rsidR="003E4327" w:rsidRPr="00050530">
        <w:rPr>
          <w:rFonts w:ascii="Times New Roman" w:hAnsi="Times New Roman" w:cs="Times New Roman"/>
          <w:sz w:val="24"/>
          <w:szCs w:val="24"/>
        </w:rPr>
        <w:t>a</w:t>
      </w:r>
      <w:r w:rsidRPr="00050530">
        <w:rPr>
          <w:rFonts w:ascii="Times New Roman" w:hAnsi="Times New Roman" w:cs="Times New Roman"/>
          <w:sz w:val="24"/>
          <w:szCs w:val="24"/>
        </w:rPr>
        <w:t xml:space="preserve"> od zasady </w:t>
      </w:r>
      <w:r w:rsidR="00981969" w:rsidRPr="00050530">
        <w:rPr>
          <w:rFonts w:ascii="Times New Roman" w:hAnsi="Times New Roman" w:cs="Times New Roman"/>
          <w:sz w:val="24"/>
          <w:szCs w:val="24"/>
        </w:rPr>
        <w:t>proporcjonalności</w:t>
      </w:r>
      <w:r w:rsidRPr="00050530">
        <w:rPr>
          <w:rFonts w:ascii="Times New Roman" w:hAnsi="Times New Roman" w:cs="Times New Roman"/>
          <w:sz w:val="24"/>
          <w:szCs w:val="24"/>
        </w:rPr>
        <w:t xml:space="preserve"> m</w:t>
      </w:r>
      <w:r w:rsidR="003E4327" w:rsidRPr="00050530">
        <w:rPr>
          <w:rFonts w:ascii="Times New Roman" w:hAnsi="Times New Roman" w:cs="Times New Roman"/>
          <w:sz w:val="24"/>
          <w:szCs w:val="24"/>
        </w:rPr>
        <w:t>ogą</w:t>
      </w:r>
      <w:r w:rsidRPr="00050530">
        <w:rPr>
          <w:rFonts w:ascii="Times New Roman" w:hAnsi="Times New Roman" w:cs="Times New Roman"/>
          <w:sz w:val="24"/>
          <w:szCs w:val="24"/>
        </w:rPr>
        <w:t xml:space="preserve"> nastąpić w przypadku</w:t>
      </w:r>
      <w:r w:rsidR="006A2E84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035C3F" w:rsidRPr="00050530">
        <w:rPr>
          <w:rFonts w:ascii="Times New Roman" w:hAnsi="Times New Roman" w:cs="Times New Roman"/>
          <w:sz w:val="24"/>
          <w:szCs w:val="24"/>
        </w:rPr>
        <w:t>nagród/premii</w:t>
      </w:r>
      <w:r w:rsidR="006E4D82" w:rsidRPr="00050530">
        <w:rPr>
          <w:rFonts w:ascii="Times New Roman" w:hAnsi="Times New Roman" w:cs="Times New Roman"/>
          <w:sz w:val="24"/>
          <w:szCs w:val="24"/>
        </w:rPr>
        <w:t>/dodatków zadaniowych</w:t>
      </w:r>
      <w:r w:rsidR="00981969" w:rsidRPr="00050530">
        <w:rPr>
          <w:rFonts w:ascii="Times New Roman" w:hAnsi="Times New Roman" w:cs="Times New Roman"/>
          <w:sz w:val="24"/>
          <w:szCs w:val="24"/>
        </w:rPr>
        <w:t xml:space="preserve"> przyznanych wyłącznie za pracę związaną z realizacją zadań kwalifikowalnych, które mogą być finansowane w 100% ze środków p</w:t>
      </w:r>
      <w:r w:rsidR="009467F2" w:rsidRPr="00050530">
        <w:rPr>
          <w:rFonts w:ascii="Times New Roman" w:hAnsi="Times New Roman" w:cs="Times New Roman"/>
          <w:sz w:val="24"/>
          <w:szCs w:val="24"/>
        </w:rPr>
        <w:t>omocy technicznej pod warunkiem, że podmiot uprawniony przedstawi szczegółowe uzasadnienie powodów przyznania nagrody/premii</w:t>
      </w:r>
      <w:r w:rsidR="00555557">
        <w:rPr>
          <w:rFonts w:ascii="Times New Roman" w:hAnsi="Times New Roman" w:cs="Times New Roman"/>
          <w:sz w:val="24"/>
          <w:szCs w:val="24"/>
        </w:rPr>
        <w:t>/dodatku zadaniowego</w:t>
      </w:r>
      <w:r w:rsidR="009467F2" w:rsidRPr="00050530">
        <w:rPr>
          <w:rFonts w:ascii="Times New Roman" w:hAnsi="Times New Roman" w:cs="Times New Roman"/>
          <w:sz w:val="24"/>
          <w:szCs w:val="24"/>
        </w:rPr>
        <w:t xml:space="preserve"> oraz ich wysokości</w:t>
      </w:r>
      <w:r w:rsidR="006A2E84" w:rsidRPr="00050530">
        <w:rPr>
          <w:rFonts w:ascii="Times New Roman" w:hAnsi="Times New Roman" w:cs="Times New Roman"/>
          <w:sz w:val="24"/>
          <w:szCs w:val="24"/>
        </w:rPr>
        <w:t>.</w:t>
      </w:r>
    </w:p>
    <w:p w14:paraId="6E9C5D79" w14:textId="0D1DB0E0" w:rsidR="00050530" w:rsidRPr="00E546D4" w:rsidRDefault="00050530" w:rsidP="00312A82">
      <w:pPr>
        <w:pStyle w:val="NormalnyWeb"/>
        <w:kinsoku w:val="0"/>
        <w:overflowPunct w:val="0"/>
        <w:spacing w:before="58" w:beforeAutospacing="0" w:after="0" w:afterAutospacing="0" w:line="276" w:lineRule="auto"/>
        <w:jc w:val="both"/>
        <w:textAlignment w:val="baseline"/>
        <w:rPr>
          <w:rFonts w:eastAsia="Times New Roman"/>
        </w:rPr>
      </w:pPr>
      <w:r w:rsidRPr="00050530">
        <w:rPr>
          <w:bCs/>
          <w:lang w:eastAsia="en-US"/>
        </w:rPr>
        <w:t>Uzasadnienie powodów przyznania nagrody/premii</w:t>
      </w:r>
      <w:r w:rsidR="00B10D54">
        <w:rPr>
          <w:bCs/>
          <w:lang w:eastAsia="en-US"/>
        </w:rPr>
        <w:t>/dodatku</w:t>
      </w:r>
      <w:r w:rsidRPr="00050530">
        <w:rPr>
          <w:bCs/>
          <w:lang w:eastAsia="en-US"/>
        </w:rPr>
        <w:t xml:space="preserve"> </w:t>
      </w:r>
      <w:r w:rsidRPr="00050530">
        <w:rPr>
          <w:bCs/>
          <w:u w:val="single"/>
          <w:lang w:eastAsia="en-US"/>
        </w:rPr>
        <w:t>należy przygotować indywidualnie dla każdego pracownika</w:t>
      </w:r>
      <w:r w:rsidRPr="00050530">
        <w:rPr>
          <w:bCs/>
          <w:lang w:eastAsia="en-US"/>
        </w:rPr>
        <w:t xml:space="preserve"> (zarówno pod względem treści, jak i wysokości). </w:t>
      </w:r>
      <w:r w:rsidR="00EE5364">
        <w:rPr>
          <w:bCs/>
          <w:lang w:eastAsia="en-US"/>
        </w:rPr>
        <w:br/>
      </w:r>
      <w:r w:rsidRPr="00050530">
        <w:rPr>
          <w:bCs/>
          <w:lang w:eastAsia="en-US"/>
        </w:rPr>
        <w:t xml:space="preserve">W ww. uzasadnieniu należy wziąć pod uwagę różne aspekty mające wpływ na wysokość przyznanego świadczenia. Świadczenia te powinny wynikać i być zgodne z wewnętrznymi regulaminami wynagradzania </w:t>
      </w:r>
      <w:r w:rsidRPr="00E546D4">
        <w:rPr>
          <w:bCs/>
          <w:lang w:eastAsia="en-US"/>
        </w:rPr>
        <w:t xml:space="preserve">pracowników podmiotu uprawnionego. </w:t>
      </w:r>
      <w:r w:rsidR="00312A82" w:rsidRPr="00E546D4">
        <w:rPr>
          <w:rFonts w:eastAsiaTheme="minorEastAsia"/>
          <w:bCs/>
        </w:rPr>
        <w:t xml:space="preserve">W zależności od struktury instytucji czy też innych przyczyn, powyższy dokument można przekazać jako oddzielny dla poszczególnego pracownika lub jako </w:t>
      </w:r>
      <w:r w:rsidR="00312A82" w:rsidRPr="00E546D4">
        <w:rPr>
          <w:rFonts w:eastAsiaTheme="minorEastAsia"/>
          <w:bCs/>
          <w:u w:val="single"/>
        </w:rPr>
        <w:t xml:space="preserve">wykaz/zbiór wszystkich uzasadnień (np. tabela), </w:t>
      </w:r>
      <w:r w:rsidR="00312A82" w:rsidRPr="00E546D4">
        <w:rPr>
          <w:rFonts w:eastAsiaTheme="minorEastAsia"/>
          <w:bCs/>
        </w:rPr>
        <w:t>lub też w kilku egzemplarzach jako wykaz pracowników danej komórki organizacyjnej</w:t>
      </w:r>
      <w:r w:rsidR="00B10D54">
        <w:rPr>
          <w:rFonts w:eastAsiaTheme="minorEastAsia"/>
          <w:bCs/>
        </w:rPr>
        <w:t>, którym przyznano ww. świadczenia pieniężne</w:t>
      </w:r>
      <w:r w:rsidR="00312A82" w:rsidRPr="00E546D4">
        <w:rPr>
          <w:rFonts w:eastAsiaTheme="minorEastAsia"/>
          <w:bCs/>
        </w:rPr>
        <w:t xml:space="preserve"> podlegające refundacji. </w:t>
      </w:r>
    </w:p>
    <w:p w14:paraId="7C071F11" w14:textId="118F8631" w:rsidR="00050530" w:rsidRPr="00050530" w:rsidRDefault="00050530" w:rsidP="00312A82">
      <w:pPr>
        <w:pStyle w:val="Tekstkomentarz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D4">
        <w:rPr>
          <w:rFonts w:ascii="Times New Roman" w:hAnsi="Times New Roman" w:cs="Times New Roman"/>
          <w:sz w:val="24"/>
          <w:szCs w:val="24"/>
        </w:rPr>
        <w:t>W przypadk</w:t>
      </w:r>
      <w:r w:rsidR="00CE649B" w:rsidRPr="00E546D4">
        <w:rPr>
          <w:rFonts w:ascii="Times New Roman" w:hAnsi="Times New Roman" w:cs="Times New Roman"/>
          <w:sz w:val="24"/>
          <w:szCs w:val="24"/>
        </w:rPr>
        <w:t>u podróży służbow</w:t>
      </w:r>
      <w:r w:rsidR="00B10D54">
        <w:rPr>
          <w:rFonts w:ascii="Times New Roman" w:hAnsi="Times New Roman" w:cs="Times New Roman"/>
          <w:sz w:val="24"/>
          <w:szCs w:val="24"/>
        </w:rPr>
        <w:t>ej</w:t>
      </w:r>
      <w:r w:rsidR="00CE649B" w:rsidRPr="00E546D4">
        <w:rPr>
          <w:rFonts w:ascii="Times New Roman" w:hAnsi="Times New Roman" w:cs="Times New Roman"/>
          <w:sz w:val="24"/>
          <w:szCs w:val="24"/>
        </w:rPr>
        <w:t xml:space="preserve"> pracownika</w:t>
      </w:r>
      <w:r w:rsidRPr="00E546D4">
        <w:rPr>
          <w:rFonts w:ascii="Times New Roman" w:hAnsi="Times New Roman" w:cs="Times New Roman"/>
          <w:sz w:val="24"/>
          <w:szCs w:val="24"/>
        </w:rPr>
        <w:t xml:space="preserve"> podmiotu uprawionego </w:t>
      </w:r>
      <w:r w:rsidR="00B10D54">
        <w:rPr>
          <w:rFonts w:ascii="Times New Roman" w:hAnsi="Times New Roman" w:cs="Times New Roman"/>
          <w:sz w:val="24"/>
          <w:szCs w:val="24"/>
        </w:rPr>
        <w:t>w związku z jego</w:t>
      </w:r>
      <w:r w:rsidR="00227C29">
        <w:rPr>
          <w:rFonts w:ascii="Times New Roman" w:hAnsi="Times New Roman" w:cs="Times New Roman"/>
          <w:sz w:val="24"/>
          <w:szCs w:val="24"/>
        </w:rPr>
        <w:t xml:space="preserve"> udziałem w</w:t>
      </w:r>
      <w:r w:rsidRPr="00E546D4">
        <w:rPr>
          <w:rFonts w:ascii="Times New Roman" w:hAnsi="Times New Roman" w:cs="Times New Roman"/>
          <w:sz w:val="24"/>
          <w:szCs w:val="24"/>
        </w:rPr>
        <w:t xml:space="preserve"> delegacji służbowej krajowej lub zagranicznej, koszty są </w:t>
      </w:r>
      <w:r w:rsidR="00B10D54">
        <w:rPr>
          <w:rFonts w:ascii="Times New Roman" w:hAnsi="Times New Roman" w:cs="Times New Roman"/>
          <w:sz w:val="24"/>
          <w:szCs w:val="24"/>
        </w:rPr>
        <w:t>kwalifikowalne</w:t>
      </w:r>
      <w:r w:rsidR="00B10D54" w:rsidRPr="00E546D4">
        <w:rPr>
          <w:rFonts w:ascii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E546D4">
        <w:rPr>
          <w:rFonts w:ascii="Times New Roman" w:hAnsi="Times New Roman" w:cs="Times New Roman"/>
          <w:sz w:val="24"/>
          <w:szCs w:val="24"/>
        </w:rPr>
        <w:t xml:space="preserve">w części, w jakiej dotyczą realizacji zadań kwalifikowalnych, bez obowiązku spełniania przez pracownika podmiotu uprawnionego warunku dot. procentowego zaangażowania czasu pracy w realizację zadań kwalifikowalnych w danym miesiącu na poziomie co najmniej 50%. Brak wymogu dotyczącego minimum 50% zaangażowania w zadania kwalifikowalne, w przypadku podróży służbowych pracowników podmiotu uprawionego, obowiązuje od 3 stycznia 2019 r. Koszty podróży służbowych poniesione przed 3 styczna </w:t>
      </w:r>
      <w:r w:rsidR="00B10D54">
        <w:rPr>
          <w:rFonts w:ascii="Times New Roman" w:hAnsi="Times New Roman" w:cs="Times New Roman"/>
          <w:sz w:val="24"/>
          <w:szCs w:val="24"/>
        </w:rPr>
        <w:t>2019 r.</w:t>
      </w:r>
      <w:r w:rsidRPr="00E546D4">
        <w:rPr>
          <w:rFonts w:ascii="Times New Roman" w:hAnsi="Times New Roman" w:cs="Times New Roman"/>
          <w:sz w:val="24"/>
          <w:szCs w:val="24"/>
        </w:rPr>
        <w:t xml:space="preserve"> są kwalifikowalne na warunkach określonych w § 3 ust. 5 i 6 rozporządzenia PT</w:t>
      </w:r>
      <w:r w:rsidR="00B10D54">
        <w:rPr>
          <w:rFonts w:ascii="Times New Roman" w:hAnsi="Times New Roman" w:cs="Times New Roman"/>
          <w:sz w:val="24"/>
          <w:szCs w:val="24"/>
        </w:rPr>
        <w:t xml:space="preserve">, czyli zaangażowanie </w:t>
      </w:r>
      <w:r w:rsidR="00B10D54" w:rsidRPr="00B10D54">
        <w:rPr>
          <w:rFonts w:ascii="Times New Roman" w:hAnsi="Times New Roman" w:cs="Times New Roman"/>
          <w:sz w:val="24"/>
          <w:szCs w:val="24"/>
        </w:rPr>
        <w:t xml:space="preserve">w realizację </w:t>
      </w:r>
      <w:r w:rsidR="00B10D54" w:rsidRPr="00B10D54">
        <w:rPr>
          <w:rFonts w:ascii="Times New Roman" w:hAnsi="Times New Roman" w:cs="Times New Roman"/>
          <w:sz w:val="24"/>
          <w:szCs w:val="24"/>
        </w:rPr>
        <w:lastRenderedPageBreak/>
        <w:t>zadań kwalifikowalnych w danym miesiącu na poziomie co najmniej 50% swojeg</w:t>
      </w:r>
      <w:r w:rsidR="00E40B7D">
        <w:rPr>
          <w:rFonts w:ascii="Times New Roman" w:hAnsi="Times New Roman" w:cs="Times New Roman"/>
          <w:sz w:val="24"/>
          <w:szCs w:val="24"/>
        </w:rPr>
        <w:t xml:space="preserve">o czasu pracy w danym miesiącu oraz </w:t>
      </w:r>
      <w:r w:rsidR="00B10D54" w:rsidRPr="00B10D54">
        <w:rPr>
          <w:rFonts w:ascii="Times New Roman" w:hAnsi="Times New Roman" w:cs="Times New Roman"/>
          <w:sz w:val="24"/>
          <w:szCs w:val="24"/>
        </w:rPr>
        <w:t>zgodnie z zasadą proporcjonalności</w:t>
      </w:r>
      <w:r w:rsidRPr="00E546D4">
        <w:rPr>
          <w:rFonts w:ascii="Times New Roman" w:hAnsi="Times New Roman" w:cs="Times New Roman"/>
          <w:sz w:val="24"/>
          <w:szCs w:val="24"/>
        </w:rPr>
        <w:t>.</w:t>
      </w:r>
    </w:p>
    <w:p w14:paraId="4A889347" w14:textId="77777777" w:rsidR="00EA73BF" w:rsidRPr="00085761" w:rsidRDefault="008A7C80" w:rsidP="008A7C80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D5A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2C2" w:rsidRPr="00010D5A">
        <w:rPr>
          <w:rFonts w:ascii="Times New Roman" w:hAnsi="Times New Roman" w:cs="Times New Roman"/>
          <w:b/>
          <w:sz w:val="24"/>
          <w:szCs w:val="24"/>
        </w:rPr>
        <w:t>Katalog kosztów kwalifikowanych obejmuje</w:t>
      </w:r>
      <w:r w:rsidR="00EA73BF" w:rsidRPr="00010D5A">
        <w:rPr>
          <w:rFonts w:ascii="Times New Roman" w:hAnsi="Times New Roman" w:cs="Times New Roman"/>
          <w:b/>
          <w:sz w:val="24"/>
          <w:szCs w:val="24"/>
        </w:rPr>
        <w:t xml:space="preserve"> w szczególności: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6DE56" w14:textId="77777777" w:rsidR="00EA73BF" w:rsidRPr="00085761" w:rsidRDefault="00EA73BF" w:rsidP="00227C2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zasadnicze;</w:t>
      </w:r>
    </w:p>
    <w:p w14:paraId="750C7762" w14:textId="74A6991D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DWR;</w:t>
      </w:r>
    </w:p>
    <w:p w14:paraId="7A4CEB66" w14:textId="364CF6BB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 czas urlopu wypoczynkowego</w:t>
      </w:r>
      <w:r w:rsidR="00227C29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szkoleniowego;</w:t>
      </w:r>
    </w:p>
    <w:p w14:paraId="73EFB18C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 czas niezdolności do pracy zgodnie z obowiązującymi przepisami w zakresie ubezpieczeń społecznych;</w:t>
      </w:r>
    </w:p>
    <w:p w14:paraId="4D7B2DB0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ekwiwalent za niewykorzystany urlop wypoczynkowy</w:t>
      </w:r>
      <w:r w:rsidR="00D36A02">
        <w:rPr>
          <w:rFonts w:ascii="Times New Roman" w:hAnsi="Times New Roman" w:cs="Times New Roman"/>
          <w:sz w:val="24"/>
          <w:szCs w:val="24"/>
        </w:rPr>
        <w:t xml:space="preserve"> w przypadku, gdy nastąpiło</w:t>
      </w:r>
      <w:r w:rsidRPr="00085761">
        <w:rPr>
          <w:rFonts w:ascii="Times New Roman" w:hAnsi="Times New Roman" w:cs="Times New Roman"/>
          <w:sz w:val="24"/>
          <w:szCs w:val="24"/>
        </w:rPr>
        <w:t xml:space="preserve"> rozwiązanie lub wygaśnięcie stosunku pracy;</w:t>
      </w:r>
    </w:p>
    <w:p w14:paraId="09948D16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 pracę w godzinach nadliczbowych (zgodnie z regulaminem wewnętrznym obowiązującym w danej instytucji);</w:t>
      </w:r>
    </w:p>
    <w:p w14:paraId="22F537CC" w14:textId="41A22DE3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składki na ubezpieczenie społeczne</w:t>
      </w:r>
      <w:r w:rsidR="00227C29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zdrowotne płacone przez pracodawcę;</w:t>
      </w:r>
    </w:p>
    <w:p w14:paraId="346A466E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składki na Fundusz Pracy;</w:t>
      </w:r>
      <w:r w:rsidRPr="00085761" w:rsidDel="00DE7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CC213" w14:textId="1B7E6BDC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składki na Fundusz Gwarant</w:t>
      </w:r>
      <w:r w:rsidR="00BF5BF9">
        <w:rPr>
          <w:rFonts w:ascii="Times New Roman" w:hAnsi="Times New Roman" w:cs="Times New Roman"/>
          <w:sz w:val="24"/>
          <w:szCs w:val="24"/>
        </w:rPr>
        <w:t>owanych Świadczeń Pracowniczych;</w:t>
      </w:r>
    </w:p>
    <w:p w14:paraId="264E441F" w14:textId="52A1CCD9" w:rsidR="00EA73BF" w:rsidRPr="00085761" w:rsidRDefault="00D36A02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A73BF" w:rsidRPr="00D36A02">
        <w:rPr>
          <w:rFonts w:ascii="Times New Roman" w:hAnsi="Times New Roman" w:cs="Times New Roman"/>
          <w:sz w:val="24"/>
          <w:szCs w:val="24"/>
        </w:rPr>
        <w:t xml:space="preserve">odatki wynikające z powszechnie obowiązujących </w:t>
      </w:r>
      <w:r w:rsidR="00BF5BF9">
        <w:rPr>
          <w:rFonts w:ascii="Times New Roman" w:hAnsi="Times New Roman" w:cs="Times New Roman"/>
          <w:sz w:val="24"/>
          <w:szCs w:val="24"/>
        </w:rPr>
        <w:t>przepisów prawa lub regulaminów;</w:t>
      </w:r>
    </w:p>
    <w:p w14:paraId="23981E6C" w14:textId="77777777" w:rsidR="00D2673E" w:rsidRPr="00085761" w:rsidRDefault="00D2673E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funkcyjny;</w:t>
      </w:r>
    </w:p>
    <w:p w14:paraId="1DD3E1D0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za wieloletnią pracę (stażowy);</w:t>
      </w:r>
    </w:p>
    <w:p w14:paraId="648AB477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służby cywilnej z tytułu posiadanego stopnia służbowego;</w:t>
      </w:r>
    </w:p>
    <w:p w14:paraId="383A1325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dodatek specjalny, wynikający ze specyfiki i charakteru wykonywanych zadań; </w:t>
      </w:r>
    </w:p>
    <w:p w14:paraId="26FD4B15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zadaniowy;</w:t>
      </w:r>
    </w:p>
    <w:p w14:paraId="5E3639E5" w14:textId="2234BA81" w:rsidR="00EA73BF" w:rsidRPr="00085761" w:rsidRDefault="00C4528A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kontrolerski;</w:t>
      </w:r>
    </w:p>
    <w:p w14:paraId="6157FB27" w14:textId="3AA8393A" w:rsidR="00EA73BF" w:rsidRPr="00050530" w:rsidRDefault="000D383E" w:rsidP="0005053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D383E">
        <w:rPr>
          <w:rFonts w:ascii="Times New Roman" w:hAnsi="Times New Roman" w:cs="Times New Roman"/>
          <w:sz w:val="24"/>
          <w:szCs w:val="24"/>
        </w:rPr>
        <w:t xml:space="preserve">nagrody/premie, które wynikają </w:t>
      </w:r>
      <w:r w:rsidR="00285661" w:rsidRPr="000D383E">
        <w:rPr>
          <w:rFonts w:ascii="Times New Roman" w:hAnsi="Times New Roman" w:cs="Times New Roman"/>
          <w:sz w:val="24"/>
          <w:szCs w:val="24"/>
        </w:rPr>
        <w:t xml:space="preserve">z </w:t>
      </w:r>
      <w:r w:rsidR="00396537" w:rsidRPr="000D383E">
        <w:rPr>
          <w:rFonts w:ascii="Times New Roman" w:hAnsi="Times New Roman" w:cs="Times New Roman"/>
          <w:sz w:val="24"/>
          <w:szCs w:val="24"/>
        </w:rPr>
        <w:t>powszechnie</w:t>
      </w:r>
      <w:r w:rsidR="00285661" w:rsidRPr="000D383E">
        <w:rPr>
          <w:rFonts w:ascii="Times New Roman" w:hAnsi="Times New Roman" w:cs="Times New Roman"/>
          <w:sz w:val="24"/>
          <w:szCs w:val="24"/>
        </w:rPr>
        <w:t xml:space="preserve"> </w:t>
      </w:r>
      <w:r w:rsidR="00396537" w:rsidRPr="000D383E">
        <w:rPr>
          <w:rFonts w:ascii="Times New Roman" w:hAnsi="Times New Roman" w:cs="Times New Roman"/>
          <w:sz w:val="24"/>
          <w:szCs w:val="24"/>
        </w:rPr>
        <w:t>obowiązujących przepisów prawa lub regulaminu wynagrodzeń instytucji</w:t>
      </w:r>
      <w:r w:rsidR="00285661" w:rsidRPr="000D383E">
        <w:rPr>
          <w:rFonts w:ascii="Times New Roman" w:hAnsi="Times New Roman" w:cs="Times New Roman"/>
          <w:sz w:val="24"/>
          <w:szCs w:val="24"/>
        </w:rPr>
        <w:t xml:space="preserve"> oraz </w:t>
      </w:r>
      <w:r w:rsidRPr="000D383E">
        <w:rPr>
          <w:rFonts w:ascii="Times New Roman" w:hAnsi="Times New Roman" w:cs="Times New Roman"/>
          <w:sz w:val="24"/>
          <w:szCs w:val="24"/>
        </w:rPr>
        <w:t>są</w:t>
      </w:r>
      <w:r w:rsidR="00396537" w:rsidRPr="000D383E">
        <w:rPr>
          <w:rFonts w:ascii="Times New Roman" w:hAnsi="Times New Roman" w:cs="Times New Roman"/>
          <w:sz w:val="24"/>
          <w:szCs w:val="24"/>
        </w:rPr>
        <w:t xml:space="preserve"> szczegółow</w:t>
      </w:r>
      <w:r w:rsidRPr="000D383E">
        <w:rPr>
          <w:rFonts w:ascii="Times New Roman" w:hAnsi="Times New Roman" w:cs="Times New Roman"/>
          <w:sz w:val="24"/>
          <w:szCs w:val="24"/>
        </w:rPr>
        <w:t>o</w:t>
      </w:r>
      <w:r w:rsidR="00396537" w:rsidRPr="000D383E">
        <w:rPr>
          <w:rFonts w:ascii="Times New Roman" w:hAnsi="Times New Roman" w:cs="Times New Roman"/>
          <w:sz w:val="24"/>
          <w:szCs w:val="24"/>
        </w:rPr>
        <w:t xml:space="preserve"> </w:t>
      </w:r>
      <w:r w:rsidR="00285661" w:rsidRPr="000D383E">
        <w:rPr>
          <w:rFonts w:ascii="Times New Roman" w:hAnsi="Times New Roman" w:cs="Times New Roman"/>
          <w:sz w:val="24"/>
          <w:szCs w:val="24"/>
        </w:rPr>
        <w:t>uzasadni</w:t>
      </w:r>
      <w:r w:rsidR="00396537" w:rsidRPr="000D383E">
        <w:rPr>
          <w:rFonts w:ascii="Times New Roman" w:hAnsi="Times New Roman" w:cs="Times New Roman"/>
          <w:sz w:val="24"/>
          <w:szCs w:val="24"/>
        </w:rPr>
        <w:t>one</w:t>
      </w:r>
      <w:r w:rsidR="00C4528A">
        <w:rPr>
          <w:rFonts w:ascii="Times New Roman" w:hAnsi="Times New Roman" w:cs="Times New Roman"/>
          <w:sz w:val="24"/>
          <w:szCs w:val="24"/>
        </w:rPr>
        <w:t>;</w:t>
      </w:r>
    </w:p>
    <w:p w14:paraId="074AF5C4" w14:textId="77777777" w:rsidR="00EA73BF" w:rsidRPr="003D6953" w:rsidRDefault="008E2C04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53">
        <w:rPr>
          <w:rFonts w:ascii="Times New Roman" w:hAnsi="Times New Roman" w:cs="Times New Roman"/>
          <w:sz w:val="24"/>
          <w:szCs w:val="24"/>
        </w:rPr>
        <w:t>i</w:t>
      </w:r>
      <w:r w:rsidR="00EA73BF" w:rsidRPr="003D6953">
        <w:rPr>
          <w:rFonts w:ascii="Times New Roman" w:hAnsi="Times New Roman" w:cs="Times New Roman"/>
          <w:sz w:val="24"/>
          <w:szCs w:val="24"/>
        </w:rPr>
        <w:t>nne, oprócz wynagrodzeń, świadczenia pieniężne, które są przyznawane pracownikom podmiotu uprawnionego</w:t>
      </w:r>
      <w:r w:rsidR="003D6953" w:rsidRPr="003D695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1C31793" w14:textId="77777777" w:rsidR="00EA73BF" w:rsidRPr="00085761" w:rsidRDefault="00EA73BF" w:rsidP="001A2C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badań wstępnych, okresowych oraz kontrolnych;</w:t>
      </w:r>
    </w:p>
    <w:p w14:paraId="146C4529" w14:textId="77777777" w:rsidR="00EA73BF" w:rsidRPr="00085761" w:rsidRDefault="00EA73BF" w:rsidP="001A2C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ekwiwalent za zakup okularów korygującyc</w:t>
      </w:r>
      <w:r w:rsidR="00B75D71">
        <w:rPr>
          <w:rFonts w:ascii="Times New Roman" w:hAnsi="Times New Roman" w:cs="Times New Roman"/>
          <w:sz w:val="24"/>
          <w:szCs w:val="24"/>
        </w:rPr>
        <w:t>h wzrok do pracy przy monitorze;</w:t>
      </w:r>
    </w:p>
    <w:p w14:paraId="18A5F8CF" w14:textId="05C74206" w:rsidR="00EA73BF" w:rsidRDefault="00EA73BF" w:rsidP="001A2C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ekwiwalent pieniężny za odzież ro</w:t>
      </w:r>
      <w:r w:rsidR="00B75D71">
        <w:rPr>
          <w:rFonts w:ascii="Times New Roman" w:hAnsi="Times New Roman" w:cs="Times New Roman"/>
          <w:sz w:val="24"/>
          <w:szCs w:val="24"/>
        </w:rPr>
        <w:t>boczą</w:t>
      </w:r>
      <w:r w:rsidR="00227C29">
        <w:rPr>
          <w:rFonts w:ascii="Times New Roman" w:hAnsi="Times New Roman" w:cs="Times New Roman"/>
          <w:sz w:val="24"/>
          <w:szCs w:val="24"/>
        </w:rPr>
        <w:t xml:space="preserve"> </w:t>
      </w:r>
      <w:r w:rsidR="00B75D71">
        <w:rPr>
          <w:rFonts w:ascii="Times New Roman" w:hAnsi="Times New Roman" w:cs="Times New Roman"/>
          <w:sz w:val="24"/>
          <w:szCs w:val="24"/>
        </w:rPr>
        <w:t>/ pranie odzieży roboczej;</w:t>
      </w:r>
    </w:p>
    <w:p w14:paraId="3246D88B" w14:textId="483C8A84" w:rsidR="00B75D71" w:rsidRPr="00B80E75" w:rsidRDefault="003B745B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podróże służbowe</w:t>
      </w:r>
      <w:r w:rsidR="00B75D71" w:rsidRPr="00B80E75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227C29">
        <w:rPr>
          <w:rFonts w:ascii="Times New Roman" w:hAnsi="Times New Roman" w:cs="Times New Roman"/>
          <w:sz w:val="24"/>
          <w:szCs w:val="24"/>
        </w:rPr>
        <w:t>w związku z ich udziałem w</w:t>
      </w:r>
      <w:r w:rsidR="00B75D71" w:rsidRPr="00B80E75">
        <w:rPr>
          <w:rFonts w:ascii="Times New Roman" w:hAnsi="Times New Roman" w:cs="Times New Roman"/>
          <w:sz w:val="24"/>
          <w:szCs w:val="24"/>
        </w:rPr>
        <w:t xml:space="preserve"> del</w:t>
      </w:r>
      <w:r w:rsidR="00291116">
        <w:rPr>
          <w:rFonts w:ascii="Times New Roman" w:hAnsi="Times New Roman" w:cs="Times New Roman"/>
          <w:sz w:val="24"/>
          <w:szCs w:val="24"/>
        </w:rPr>
        <w:t>eg</w:t>
      </w:r>
      <w:r w:rsidR="00B75D71" w:rsidRPr="00B80E75">
        <w:rPr>
          <w:rFonts w:ascii="Times New Roman" w:hAnsi="Times New Roman" w:cs="Times New Roman"/>
          <w:sz w:val="24"/>
          <w:szCs w:val="24"/>
        </w:rPr>
        <w:t>acji służbowej krajowej lub zagranicznej</w:t>
      </w:r>
      <w:r w:rsidR="00B80E75" w:rsidRPr="00B80E75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B80E75">
        <w:rPr>
          <w:rFonts w:ascii="Times New Roman" w:hAnsi="Times New Roman" w:cs="Times New Roman"/>
          <w:sz w:val="24"/>
          <w:szCs w:val="24"/>
        </w:rPr>
        <w:t>c</w:t>
      </w:r>
      <w:r w:rsidR="00B75D71" w:rsidRPr="00B80E75">
        <w:rPr>
          <w:rFonts w:ascii="Times New Roman" w:hAnsi="Times New Roman" w:cs="Times New Roman"/>
          <w:sz w:val="24"/>
          <w:szCs w:val="24"/>
        </w:rPr>
        <w:t>el delegacji powinien być bezpośrednio związany z zadaniami kwalifikowalnymi instytucji w zakresie realizacji PT PROW 2014-2020</w:t>
      </w:r>
      <w:r w:rsidR="007741E8">
        <w:rPr>
          <w:rFonts w:ascii="Times New Roman" w:hAnsi="Times New Roman" w:cs="Times New Roman"/>
          <w:sz w:val="24"/>
          <w:szCs w:val="24"/>
        </w:rPr>
        <w:t>,</w:t>
      </w:r>
      <w:r w:rsidR="00B75D71" w:rsidRPr="00B80E75">
        <w:rPr>
          <w:rFonts w:ascii="Times New Roman" w:hAnsi="Times New Roman" w:cs="Times New Roman"/>
          <w:sz w:val="24"/>
          <w:szCs w:val="24"/>
        </w:rPr>
        <w:t xml:space="preserve"> a wydatki poniesione w ramach delegacji nie powinny przekraczać limitów obowiązujących daną jednostkę na podstawie przepisów krajowych lub regulacji wewnętrznych (jeżeli nie przekraczają stawek określonych w przepisach krajowych).</w:t>
      </w:r>
    </w:p>
    <w:p w14:paraId="62EE20F0" w14:textId="77777777" w:rsidR="00B75D71" w:rsidRPr="00050530" w:rsidRDefault="00B75D71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Przejazdy powinny odbywać się przy użyciu najbardziej efektywnych i uzasadnionych ekonomicznie środków transportu.</w:t>
      </w:r>
    </w:p>
    <w:p w14:paraId="64728C39" w14:textId="559AB57B" w:rsidR="00B75D71" w:rsidRPr="00050530" w:rsidRDefault="00B75D71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Koszty dojazdu prywatnymi środkami transportu rozliczane są tylko do wysokości określonej w odpowiednich przepisach krajowych lub w regulaminach wewnętrznych beneficjentów, którzy nie są zobowiązani do stosowania przepisów krajowych (jeżeli nie przekraczają stawek określonych w przepisach krajowych).</w:t>
      </w:r>
    </w:p>
    <w:p w14:paraId="0A40F7A2" w14:textId="59D45C8A" w:rsidR="00431709" w:rsidRPr="00AE00C9" w:rsidRDefault="00B75D71" w:rsidP="00AE00C9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lastRenderedPageBreak/>
        <w:t xml:space="preserve">W przypadku podróży dokonanych samochodami służbowymi można doliczyć koszty związane z pracą kierowcy </w:t>
      </w:r>
      <w:r w:rsidR="001A5B1C" w:rsidRPr="00050530">
        <w:rPr>
          <w:rFonts w:ascii="Times New Roman" w:hAnsi="Times New Roman" w:cs="Times New Roman"/>
          <w:sz w:val="24"/>
          <w:szCs w:val="24"/>
        </w:rPr>
        <w:t xml:space="preserve">będącego pracownikiem etatowym beneficjenta </w:t>
      </w:r>
      <w:r w:rsidRPr="00050530">
        <w:rPr>
          <w:rFonts w:ascii="Times New Roman" w:hAnsi="Times New Roman" w:cs="Times New Roman"/>
          <w:sz w:val="24"/>
          <w:szCs w:val="24"/>
        </w:rPr>
        <w:t>(</w:t>
      </w:r>
      <w:r w:rsidR="0020568E">
        <w:rPr>
          <w:rFonts w:ascii="Times New Roman" w:hAnsi="Times New Roman" w:cs="Times New Roman"/>
          <w:sz w:val="24"/>
          <w:szCs w:val="24"/>
        </w:rPr>
        <w:t>z wyjątkiem</w:t>
      </w:r>
      <w:r w:rsidR="0020568E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 xml:space="preserve">jego </w:t>
      </w:r>
      <w:r w:rsidRPr="00050530">
        <w:rPr>
          <w:rFonts w:ascii="Times New Roman" w:hAnsi="Times New Roman" w:cs="Times New Roman"/>
          <w:sz w:val="24"/>
          <w:szCs w:val="24"/>
        </w:rPr>
        <w:t>wynagrodzenia</w:t>
      </w:r>
      <w:r w:rsidR="00D412A3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>i innych przyznanych mu świadczeń pieniężnych</w:t>
      </w:r>
      <w:r w:rsidR="00EE5364">
        <w:rPr>
          <w:rFonts w:ascii="Times New Roman" w:hAnsi="Times New Roman" w:cs="Times New Roman"/>
          <w:sz w:val="24"/>
          <w:szCs w:val="24"/>
        </w:rPr>
        <w:t xml:space="preserve"> </w:t>
      </w:r>
      <w:r w:rsidR="00D412A3" w:rsidRPr="00050530">
        <w:rPr>
          <w:rFonts w:ascii="Times New Roman" w:hAnsi="Times New Roman" w:cs="Times New Roman"/>
          <w:sz w:val="24"/>
          <w:szCs w:val="24"/>
        </w:rPr>
        <w:t>– o ile stopień zaangażowania kierowcy w zadania związane z realizacją Programu</w:t>
      </w:r>
      <w:r w:rsidR="00AC6A47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E01C7E" w:rsidRPr="00050530">
        <w:rPr>
          <w:rFonts w:ascii="Times New Roman" w:hAnsi="Times New Roman" w:cs="Times New Roman"/>
          <w:sz w:val="24"/>
          <w:szCs w:val="24"/>
        </w:rPr>
        <w:t xml:space="preserve">nie </w:t>
      </w:r>
      <w:r w:rsidR="00AC6A47" w:rsidRPr="00050530">
        <w:rPr>
          <w:rFonts w:ascii="Times New Roman" w:hAnsi="Times New Roman" w:cs="Times New Roman"/>
          <w:sz w:val="24"/>
          <w:szCs w:val="24"/>
        </w:rPr>
        <w:t>wynosi</w:t>
      </w:r>
      <w:r w:rsidR="00E01C7E" w:rsidRPr="00050530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AC6A47" w:rsidRPr="00050530">
        <w:rPr>
          <w:rFonts w:ascii="Times New Roman" w:hAnsi="Times New Roman" w:cs="Times New Roman"/>
          <w:sz w:val="24"/>
          <w:szCs w:val="24"/>
        </w:rPr>
        <w:t>50%</w:t>
      </w:r>
      <w:r w:rsidRPr="00050530">
        <w:rPr>
          <w:rFonts w:ascii="Times New Roman" w:hAnsi="Times New Roman" w:cs="Times New Roman"/>
          <w:sz w:val="24"/>
          <w:szCs w:val="24"/>
        </w:rPr>
        <w:t>), np. noclegi, wyżywienie oraz opłaty za przejazd płatnymi odcinkami dróg. Koszty parkingu mogą być rozliczone w przypadku gdy dotyczą delegacji (np. opłata za parking hotelowy).</w:t>
      </w:r>
      <w:r w:rsidR="0020568E">
        <w:rPr>
          <w:rFonts w:ascii="Times New Roman" w:hAnsi="Times New Roman" w:cs="Times New Roman"/>
          <w:sz w:val="24"/>
          <w:szCs w:val="24"/>
        </w:rPr>
        <w:t xml:space="preserve"> Koszty związane z pracą takiego kierowcy nie obejmują jednak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jego wynagrodzenia i innych przyznanych mu</w:t>
      </w:r>
      <w:r w:rsidR="0020568E">
        <w:rPr>
          <w:rFonts w:ascii="Times New Roman" w:hAnsi="Times New Roman" w:cs="Times New Roman"/>
          <w:sz w:val="24"/>
          <w:szCs w:val="24"/>
        </w:rPr>
        <w:t>, ww.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świadczeń pieniężnych</w:t>
      </w:r>
      <w:r w:rsidR="0020568E">
        <w:rPr>
          <w:rFonts w:ascii="Times New Roman" w:hAnsi="Times New Roman" w:cs="Times New Roman"/>
          <w:sz w:val="24"/>
          <w:szCs w:val="24"/>
        </w:rPr>
        <w:t>, chyba że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 xml:space="preserve">jest on jednocześnie </w:t>
      </w:r>
      <w:r w:rsidR="0020568E" w:rsidRPr="0020568E">
        <w:rPr>
          <w:rFonts w:ascii="Times New Roman" w:hAnsi="Times New Roman" w:cs="Times New Roman"/>
          <w:sz w:val="24"/>
          <w:szCs w:val="24"/>
        </w:rPr>
        <w:t>w danym miesiącu</w:t>
      </w:r>
      <w:r w:rsidR="0020568E">
        <w:rPr>
          <w:rFonts w:ascii="Times New Roman" w:hAnsi="Times New Roman" w:cs="Times New Roman"/>
          <w:sz w:val="24"/>
          <w:szCs w:val="24"/>
        </w:rPr>
        <w:t xml:space="preserve"> pracownikiem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>zaangażowanym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w realizację zadań kwalifikowalnych na poziomie co najmniej 50% swojego czasu pracy w </w:t>
      </w:r>
      <w:r w:rsidR="0020568E">
        <w:rPr>
          <w:rFonts w:ascii="Times New Roman" w:hAnsi="Times New Roman" w:cs="Times New Roman"/>
          <w:sz w:val="24"/>
          <w:szCs w:val="24"/>
        </w:rPr>
        <w:t>tym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miesiącu.</w:t>
      </w:r>
    </w:p>
    <w:p w14:paraId="14AF3ADC" w14:textId="598ACFD6" w:rsidR="00D02332" w:rsidRPr="00AE00C9" w:rsidRDefault="00B75D71" w:rsidP="00225BE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Kwalifikowalne są także koszty związane z podróżami lotniczymi w sytuacji, gdy taką formę podróżowania można będzie uznać za najbardziej racjonalną w odniesieniu do realizacji operacji</w:t>
      </w:r>
      <w:r w:rsidRPr="00431709">
        <w:rPr>
          <w:rFonts w:ascii="Times New Roman" w:hAnsi="Times New Roman" w:cs="Times New Roman"/>
          <w:sz w:val="24"/>
          <w:szCs w:val="24"/>
        </w:rPr>
        <w:t>.</w:t>
      </w:r>
      <w:r w:rsidR="00431709" w:rsidRPr="00251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1D37E" w14:textId="717C981B" w:rsidR="00225BEF" w:rsidRPr="00325B41" w:rsidRDefault="00D02332" w:rsidP="00225BE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02332">
        <w:rPr>
          <w:rFonts w:ascii="Times New Roman" w:hAnsi="Times New Roman" w:cs="Times New Roman"/>
          <w:sz w:val="24"/>
          <w:szCs w:val="24"/>
        </w:rPr>
        <w:t>Koszty podróży służbowych pr</w:t>
      </w:r>
      <w:r>
        <w:rPr>
          <w:rFonts w:ascii="Times New Roman" w:hAnsi="Times New Roman" w:cs="Times New Roman"/>
          <w:sz w:val="24"/>
          <w:szCs w:val="24"/>
        </w:rPr>
        <w:t xml:space="preserve">acowników podmiotu uprawionego </w:t>
      </w:r>
      <w:r w:rsidRPr="00D02332">
        <w:rPr>
          <w:rFonts w:ascii="Times New Roman" w:hAnsi="Times New Roman" w:cs="Times New Roman"/>
          <w:sz w:val="24"/>
          <w:szCs w:val="24"/>
        </w:rPr>
        <w:t xml:space="preserve">z tytułu delegacji służbowej krajowej lub zagranicznej, poniesione od dnia 3 stycznia 2019 r., są </w:t>
      </w:r>
      <w:r w:rsidR="0020568E">
        <w:rPr>
          <w:rFonts w:ascii="Times New Roman" w:hAnsi="Times New Roman" w:cs="Times New Roman"/>
          <w:sz w:val="24"/>
          <w:szCs w:val="24"/>
        </w:rPr>
        <w:t>kwalifikowalne</w:t>
      </w:r>
      <w:r w:rsidR="0020568E" w:rsidRPr="00D02332">
        <w:rPr>
          <w:rFonts w:ascii="Times New Roman" w:hAnsi="Times New Roman" w:cs="Times New Roman"/>
          <w:sz w:val="24"/>
          <w:szCs w:val="24"/>
        </w:rPr>
        <w:t xml:space="preserve"> </w:t>
      </w:r>
      <w:r w:rsidRPr="00D02332">
        <w:rPr>
          <w:rFonts w:ascii="Times New Roman" w:hAnsi="Times New Roman" w:cs="Times New Roman"/>
          <w:sz w:val="24"/>
          <w:szCs w:val="24"/>
        </w:rPr>
        <w:t xml:space="preserve">w części, w jakiej dotyczą realizacji zadań kwalifikowalnych, bez obowiązku spełniania przez pracownika podmiotu uprawnionego warunku dot. procentowego zaangażowania czasu pracy w realizację zadań kwalifikowalnych w danym miesiącu na poziomie co najmniej 50%.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Pr="00D02332">
        <w:rPr>
          <w:rFonts w:ascii="Times New Roman" w:hAnsi="Times New Roman" w:cs="Times New Roman"/>
          <w:sz w:val="24"/>
          <w:szCs w:val="24"/>
        </w:rPr>
        <w:t xml:space="preserve">W związku z tym beneficjent pomocy technicznej PROW 2014-2020 będzie zobligowany do wykazania (w przypadku </w:t>
      </w:r>
      <w:r w:rsidR="00A67532">
        <w:rPr>
          <w:rFonts w:ascii="Times New Roman" w:hAnsi="Times New Roman" w:cs="Times New Roman"/>
          <w:sz w:val="24"/>
          <w:szCs w:val="24"/>
        </w:rPr>
        <w:t>za</w:t>
      </w:r>
      <w:r w:rsidRPr="00D02332">
        <w:rPr>
          <w:rFonts w:ascii="Times New Roman" w:hAnsi="Times New Roman" w:cs="Times New Roman"/>
          <w:sz w:val="24"/>
          <w:szCs w:val="24"/>
        </w:rPr>
        <w:t xml:space="preserve">deklarowania ww. kosztów) w jakim zakresie podróż ta dotyczyła realizacji zadań kwalifikowalnych (np. na podstawie agendy spotkania) i na tej podstawie ustalony będzie udział kosztów kwalifikowalnych podróży służbowej.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02332">
        <w:rPr>
          <w:rFonts w:ascii="Times New Roman" w:hAnsi="Times New Roman" w:cs="Times New Roman"/>
          <w:sz w:val="24"/>
          <w:szCs w:val="24"/>
        </w:rPr>
        <w:t xml:space="preserve">W przypadku gdy spotkanie dotyczyło również realizacji zadań niekwalifikowalnych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D02332">
        <w:rPr>
          <w:rFonts w:ascii="Times New Roman" w:hAnsi="Times New Roman" w:cs="Times New Roman"/>
          <w:sz w:val="24"/>
          <w:szCs w:val="24"/>
        </w:rPr>
        <w:t>(co wynika np. z agendy spotkania), beneficjent – wnioskując o refundację 100 % kosztów poniesionych z tytułu podróży służbowej – powinien przedstawić Agencji uzasadnienie refundacji kosztów w ww. wysokości</w:t>
      </w:r>
      <w:r w:rsidRPr="003A367B">
        <w:rPr>
          <w:rFonts w:ascii="Times New Roman" w:hAnsi="Times New Roman" w:cs="Times New Roman"/>
          <w:sz w:val="24"/>
          <w:szCs w:val="24"/>
        </w:rPr>
        <w:t>. Np.</w:t>
      </w:r>
      <w:r w:rsidR="00225BEF" w:rsidRPr="003A367B">
        <w:rPr>
          <w:rFonts w:ascii="Times New Roman" w:hAnsi="Times New Roman" w:cs="Times New Roman"/>
          <w:sz w:val="24"/>
          <w:szCs w:val="24"/>
        </w:rPr>
        <w:t xml:space="preserve"> gdy pracownik </w:t>
      </w:r>
      <w:r w:rsidR="003A367B" w:rsidRPr="003A367B">
        <w:rPr>
          <w:rFonts w:ascii="Times New Roman" w:hAnsi="Times New Roman" w:cs="Times New Roman"/>
          <w:sz w:val="24"/>
          <w:szCs w:val="24"/>
        </w:rPr>
        <w:t xml:space="preserve">podmiotu uprawnionego (który jest np. ekspertem w danej dziedzinie) </w:t>
      </w:r>
      <w:r w:rsidR="00225BEF" w:rsidRPr="003A367B">
        <w:rPr>
          <w:rFonts w:ascii="Times New Roman" w:hAnsi="Times New Roman" w:cs="Times New Roman"/>
          <w:sz w:val="24"/>
          <w:szCs w:val="24"/>
        </w:rPr>
        <w:t>bierze udzia</w:t>
      </w:r>
      <w:r w:rsidR="003A367B" w:rsidRPr="003A367B">
        <w:rPr>
          <w:rFonts w:ascii="Times New Roman" w:hAnsi="Times New Roman" w:cs="Times New Roman"/>
          <w:sz w:val="24"/>
          <w:szCs w:val="24"/>
        </w:rPr>
        <w:t>ł w spotkaniu,</w:t>
      </w:r>
      <w:r w:rsidR="00225BEF" w:rsidRPr="003A367B">
        <w:rPr>
          <w:rFonts w:ascii="Times New Roman" w:hAnsi="Times New Roman" w:cs="Times New Roman"/>
          <w:sz w:val="24"/>
          <w:szCs w:val="24"/>
        </w:rPr>
        <w:t xml:space="preserve"> a spotkanie dotyczy również realizacji zadań niekwalifikowalnych (co w</w:t>
      </w:r>
      <w:r w:rsidR="00976DE3" w:rsidRPr="003A367B">
        <w:rPr>
          <w:rFonts w:ascii="Times New Roman" w:hAnsi="Times New Roman" w:cs="Times New Roman"/>
          <w:sz w:val="24"/>
          <w:szCs w:val="24"/>
        </w:rPr>
        <w:t>ynika np. z agendy spotkania), natomiast</w:t>
      </w:r>
      <w:r w:rsidR="00225BEF" w:rsidRPr="003A367B">
        <w:rPr>
          <w:rFonts w:ascii="Times New Roman" w:hAnsi="Times New Roman" w:cs="Times New Roman"/>
          <w:sz w:val="24"/>
          <w:szCs w:val="24"/>
        </w:rPr>
        <w:t xml:space="preserve"> udział osoby w spotkaniu dotyczy wyłącznie spraw związanych z zadaniami kwalifikowalnymi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225BEF" w:rsidRPr="003A367B">
        <w:rPr>
          <w:rFonts w:ascii="Times New Roman" w:hAnsi="Times New Roman" w:cs="Times New Roman"/>
          <w:sz w:val="24"/>
          <w:szCs w:val="24"/>
        </w:rPr>
        <w:t>(np. oświadczenie na agendzie spotkania lub oświadczenie dołączone do agendy), wówczas koszt podróży służbowej pracownika można uznać w całości za kwalifikowalny.</w:t>
      </w:r>
    </w:p>
    <w:p w14:paraId="5EB1A257" w14:textId="38E1F992" w:rsidR="00B75D71" w:rsidRPr="00915CBA" w:rsidRDefault="00B75D71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5CBA">
        <w:rPr>
          <w:rFonts w:ascii="Times New Roman" w:hAnsi="Times New Roman" w:cs="Times New Roman"/>
          <w:sz w:val="24"/>
          <w:szCs w:val="24"/>
        </w:rPr>
        <w:t xml:space="preserve">Do kosztów kwalifikowalnych zaliczyć także można ryczałty za dojazdy – zgodnie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915CBA">
        <w:rPr>
          <w:rFonts w:ascii="Times New Roman" w:hAnsi="Times New Roman" w:cs="Times New Roman"/>
          <w:sz w:val="24"/>
          <w:szCs w:val="24"/>
        </w:rPr>
        <w:t xml:space="preserve">z wystawionymi delegacjami. </w:t>
      </w:r>
    </w:p>
    <w:p w14:paraId="7CA9AE4F" w14:textId="1DE2474C" w:rsidR="003C599A" w:rsidRDefault="00B75D71" w:rsidP="00915CBA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5CBA">
        <w:rPr>
          <w:rFonts w:ascii="Times New Roman" w:hAnsi="Times New Roman" w:cs="Times New Roman"/>
          <w:sz w:val="24"/>
          <w:szCs w:val="24"/>
        </w:rPr>
        <w:t>Wydatki związane z podróżami służbowymi, które nie doszły do skutku, stanowią wydatek niekwalifikowalny w ramach  pomocy technicznej.</w:t>
      </w:r>
      <w:r w:rsidR="000263F3">
        <w:rPr>
          <w:rFonts w:ascii="Times New Roman" w:hAnsi="Times New Roman" w:cs="Times New Roman"/>
          <w:sz w:val="24"/>
          <w:szCs w:val="24"/>
        </w:rPr>
        <w:t xml:space="preserve"> </w:t>
      </w:r>
      <w:r w:rsidR="000263F3" w:rsidRPr="00050530">
        <w:rPr>
          <w:rFonts w:ascii="Times New Roman" w:hAnsi="Times New Roman" w:cs="Times New Roman"/>
          <w:sz w:val="24"/>
          <w:szCs w:val="24"/>
        </w:rPr>
        <w:t>Odstępstwem od tej zasady będzie koszt usługi noclegu</w:t>
      </w:r>
      <w:r w:rsidR="00A67532">
        <w:rPr>
          <w:rFonts w:ascii="Times New Roman" w:hAnsi="Times New Roman" w:cs="Times New Roman"/>
          <w:sz w:val="24"/>
          <w:szCs w:val="24"/>
        </w:rPr>
        <w:t xml:space="preserve"> poniesiony</w:t>
      </w:r>
      <w:r w:rsidR="00550280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A67532">
        <w:rPr>
          <w:rFonts w:ascii="Times New Roman" w:hAnsi="Times New Roman" w:cs="Times New Roman"/>
          <w:sz w:val="24"/>
          <w:szCs w:val="24"/>
        </w:rPr>
        <w:t>w związku z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organizowani</w:t>
      </w:r>
      <w:r w:rsidR="00A67532">
        <w:rPr>
          <w:rFonts w:ascii="Times New Roman" w:hAnsi="Times New Roman" w:cs="Times New Roman"/>
          <w:sz w:val="24"/>
          <w:szCs w:val="24"/>
        </w:rPr>
        <w:t>em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szkoleń, konferencji, spotkań, komitetów</w:t>
      </w:r>
      <w:r w:rsidR="000D0CC2" w:rsidRPr="00050530">
        <w:rPr>
          <w:rFonts w:ascii="Times New Roman" w:hAnsi="Times New Roman" w:cs="Times New Roman"/>
          <w:sz w:val="24"/>
          <w:szCs w:val="24"/>
        </w:rPr>
        <w:t xml:space="preserve"> itp</w:t>
      </w:r>
      <w:r w:rsidR="00602FCD" w:rsidRPr="00050530">
        <w:rPr>
          <w:rFonts w:ascii="Times New Roman" w:hAnsi="Times New Roman" w:cs="Times New Roman"/>
          <w:sz w:val="24"/>
          <w:szCs w:val="24"/>
        </w:rPr>
        <w:t>. W przypadku gdy faktyczna liczba uczestników, która została zgłoszona do korzystania z usługi noclegu</w:t>
      </w:r>
      <w:r w:rsidR="003C599A">
        <w:rPr>
          <w:rFonts w:ascii="Times New Roman" w:hAnsi="Times New Roman" w:cs="Times New Roman"/>
          <w:sz w:val="24"/>
          <w:szCs w:val="24"/>
        </w:rPr>
        <w:t>,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j</w:t>
      </w:r>
      <w:r w:rsidR="003B76F6">
        <w:rPr>
          <w:rFonts w:ascii="Times New Roman" w:hAnsi="Times New Roman" w:cs="Times New Roman"/>
          <w:sz w:val="24"/>
          <w:szCs w:val="24"/>
        </w:rPr>
        <w:t xml:space="preserve">est mniejsza o nie </w:t>
      </w:r>
      <w:r w:rsidR="003B76F6" w:rsidRPr="003A367B">
        <w:rPr>
          <w:rFonts w:ascii="Times New Roman" w:hAnsi="Times New Roman" w:cs="Times New Roman"/>
          <w:sz w:val="24"/>
          <w:szCs w:val="24"/>
        </w:rPr>
        <w:t>więcej niż 15</w:t>
      </w:r>
      <w:r w:rsidR="00602FCD" w:rsidRPr="003A367B">
        <w:rPr>
          <w:rFonts w:ascii="Times New Roman" w:hAnsi="Times New Roman" w:cs="Times New Roman"/>
          <w:sz w:val="24"/>
          <w:szCs w:val="24"/>
        </w:rPr>
        <w:t>% liczby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uczestników deklarujących swój udział (przy dochowaniu należytej staranności przez organizatora wydarzenia na etapie jego planowania i rekrutacji uczestników), wówczas za kwalifikowalny uznaje się koszt usługi n</w:t>
      </w:r>
      <w:r w:rsidR="00501571">
        <w:rPr>
          <w:rFonts w:ascii="Times New Roman" w:hAnsi="Times New Roman" w:cs="Times New Roman"/>
          <w:sz w:val="24"/>
          <w:szCs w:val="24"/>
        </w:rPr>
        <w:t>oclegowej w całości wynikający</w:t>
      </w:r>
      <w:r w:rsidR="003C599A">
        <w:rPr>
          <w:rFonts w:ascii="Times New Roman" w:hAnsi="Times New Roman" w:cs="Times New Roman"/>
          <w:sz w:val="24"/>
          <w:szCs w:val="24"/>
        </w:rPr>
        <w:t xml:space="preserve"> </w:t>
      </w:r>
      <w:r w:rsidR="00602FCD" w:rsidRPr="00050530">
        <w:rPr>
          <w:rFonts w:ascii="Times New Roman" w:hAnsi="Times New Roman" w:cs="Times New Roman"/>
          <w:sz w:val="24"/>
          <w:szCs w:val="24"/>
        </w:rPr>
        <w:t>z deklarowanego udziału na podstawie wystawionej i opłaconej faktu</w:t>
      </w:r>
      <w:r w:rsidR="003A367B">
        <w:rPr>
          <w:rFonts w:ascii="Times New Roman" w:hAnsi="Times New Roman" w:cs="Times New Roman"/>
          <w:sz w:val="24"/>
          <w:szCs w:val="24"/>
        </w:rPr>
        <w:t xml:space="preserve">ry lub równoważnego dokumentu. </w:t>
      </w:r>
    </w:p>
    <w:p w14:paraId="1B212225" w14:textId="4D77FD95" w:rsidR="00915CBA" w:rsidRDefault="00602FCD" w:rsidP="00915CBA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lastRenderedPageBreak/>
        <w:t>Przykład</w:t>
      </w:r>
      <w:r w:rsidR="003A367B">
        <w:rPr>
          <w:rFonts w:ascii="Times New Roman" w:hAnsi="Times New Roman" w:cs="Times New Roman"/>
          <w:sz w:val="24"/>
          <w:szCs w:val="24"/>
        </w:rPr>
        <w:t xml:space="preserve"> 1</w:t>
      </w:r>
      <w:r w:rsidRPr="00050530">
        <w:rPr>
          <w:rFonts w:ascii="Times New Roman" w:hAnsi="Times New Roman" w:cs="Times New Roman"/>
          <w:sz w:val="24"/>
          <w:szCs w:val="24"/>
        </w:rPr>
        <w:t xml:space="preserve">: W wydarzeniu udział zadeklarowało </w:t>
      </w:r>
      <w:r w:rsidRPr="00A917F0">
        <w:rPr>
          <w:rFonts w:ascii="Times New Roman" w:hAnsi="Times New Roman" w:cs="Times New Roman"/>
          <w:sz w:val="24"/>
          <w:szCs w:val="24"/>
        </w:rPr>
        <w:t>100 osób,</w:t>
      </w:r>
      <w:r w:rsidR="003C599A">
        <w:rPr>
          <w:rFonts w:ascii="Times New Roman" w:hAnsi="Times New Roman" w:cs="Times New Roman"/>
          <w:sz w:val="24"/>
          <w:szCs w:val="24"/>
        </w:rPr>
        <w:t xml:space="preserve"> a</w:t>
      </w:r>
      <w:r w:rsidRPr="00A917F0">
        <w:rPr>
          <w:rFonts w:ascii="Times New Roman" w:hAnsi="Times New Roman" w:cs="Times New Roman"/>
          <w:sz w:val="24"/>
          <w:szCs w:val="24"/>
        </w:rPr>
        <w:t xml:space="preserve"> faktycznie udział </w:t>
      </w:r>
      <w:r w:rsidR="003B76F6" w:rsidRPr="00A917F0">
        <w:rPr>
          <w:rFonts w:ascii="Times New Roman" w:hAnsi="Times New Roman" w:cs="Times New Roman"/>
          <w:sz w:val="24"/>
          <w:szCs w:val="24"/>
        </w:rPr>
        <w:t>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</w:t>
      </w:r>
      <w:r w:rsidRPr="00A917F0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 j</w:t>
      </w:r>
      <w:r w:rsidR="003B76F6" w:rsidRPr="00A917F0">
        <w:rPr>
          <w:rFonts w:ascii="Times New Roman" w:hAnsi="Times New Roman" w:cs="Times New Roman"/>
          <w:sz w:val="24"/>
          <w:szCs w:val="24"/>
        </w:rPr>
        <w:t xml:space="preserve">est mniejsza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3B76F6" w:rsidRPr="00A917F0">
        <w:rPr>
          <w:rFonts w:ascii="Times New Roman" w:hAnsi="Times New Roman" w:cs="Times New Roman"/>
          <w:sz w:val="24"/>
          <w:szCs w:val="24"/>
        </w:rPr>
        <w:t>o nie więcej niż 15% (wynosi 13</w:t>
      </w:r>
      <w:r w:rsidRPr="00A917F0">
        <w:rPr>
          <w:rFonts w:ascii="Times New Roman" w:hAnsi="Times New Roman" w:cs="Times New Roman"/>
          <w:sz w:val="24"/>
          <w:szCs w:val="24"/>
        </w:rPr>
        <w:t xml:space="preserve">%) liczby uczestników deklarujących swój udział. Zatem koszt usługi noclegowej dla 100 osób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A917F0">
        <w:rPr>
          <w:rFonts w:ascii="Times New Roman" w:hAnsi="Times New Roman" w:cs="Times New Roman"/>
          <w:sz w:val="24"/>
          <w:szCs w:val="24"/>
        </w:rPr>
        <w:t>faktury / równoważnego dokume</w:t>
      </w:r>
      <w:r w:rsidR="003A367B" w:rsidRPr="00A917F0">
        <w:rPr>
          <w:rFonts w:ascii="Times New Roman" w:hAnsi="Times New Roman" w:cs="Times New Roman"/>
          <w:sz w:val="24"/>
          <w:szCs w:val="24"/>
        </w:rPr>
        <w:t>ntu jest kwalifikowalny w 100%</w:t>
      </w:r>
      <w:r w:rsidRPr="00A917F0">
        <w:rPr>
          <w:rFonts w:ascii="Times New Roman" w:hAnsi="Times New Roman" w:cs="Times New Roman"/>
          <w:sz w:val="24"/>
          <w:szCs w:val="24"/>
        </w:rPr>
        <w:t>.</w:t>
      </w:r>
    </w:p>
    <w:p w14:paraId="33B04678" w14:textId="10BAF31B" w:rsidR="00050530" w:rsidRDefault="00050530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917F0">
        <w:rPr>
          <w:rFonts w:ascii="Times New Roman" w:hAnsi="Times New Roman" w:cs="Times New Roman"/>
          <w:sz w:val="24"/>
          <w:szCs w:val="24"/>
        </w:rPr>
        <w:t>Przykład</w:t>
      </w:r>
      <w:r w:rsidR="00A917F0" w:rsidRPr="00A917F0">
        <w:rPr>
          <w:rFonts w:ascii="Times New Roman" w:hAnsi="Times New Roman" w:cs="Times New Roman"/>
          <w:sz w:val="24"/>
          <w:szCs w:val="24"/>
        </w:rPr>
        <w:t xml:space="preserve"> 2</w:t>
      </w:r>
      <w:r w:rsidRPr="00A917F0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B76F6" w:rsidRPr="00A917F0">
        <w:rPr>
          <w:rFonts w:ascii="Times New Roman" w:hAnsi="Times New Roman" w:cs="Times New Roman"/>
          <w:sz w:val="24"/>
          <w:szCs w:val="24"/>
        </w:rPr>
        <w:t>sób,</w:t>
      </w:r>
      <w:r w:rsidR="003C599A">
        <w:rPr>
          <w:rFonts w:ascii="Times New Roman" w:hAnsi="Times New Roman" w:cs="Times New Roman"/>
          <w:sz w:val="24"/>
          <w:szCs w:val="24"/>
        </w:rPr>
        <w:t xml:space="preserve"> a</w:t>
      </w:r>
      <w:r w:rsidR="003B76F6" w:rsidRPr="00A917F0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3C599A">
        <w:rPr>
          <w:rFonts w:ascii="Times New Roman" w:hAnsi="Times New Roman" w:cs="Times New Roman"/>
          <w:sz w:val="24"/>
          <w:szCs w:val="24"/>
        </w:rPr>
        <w:t>y</w:t>
      </w:r>
      <w:r w:rsidR="003B76F6" w:rsidRPr="00A917F0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3B76F6" w:rsidRPr="00A917F0">
        <w:rPr>
          <w:rFonts w:ascii="Times New Roman" w:hAnsi="Times New Roman" w:cs="Times New Roman"/>
          <w:sz w:val="24"/>
          <w:szCs w:val="24"/>
        </w:rPr>
        <w:t>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Pr="00A917F0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A917F0">
        <w:rPr>
          <w:rFonts w:ascii="Times New Roman" w:hAnsi="Times New Roman" w:cs="Times New Roman"/>
          <w:sz w:val="24"/>
          <w:szCs w:val="24"/>
        </w:rPr>
        <w:t xml:space="preserve"> w wydarzeniu jest większa o</w:t>
      </w:r>
      <w:r w:rsidR="003C599A">
        <w:rPr>
          <w:rFonts w:ascii="Times New Roman" w:hAnsi="Times New Roman" w:cs="Times New Roman"/>
          <w:sz w:val="24"/>
          <w:szCs w:val="24"/>
        </w:rPr>
        <w:t>d</w:t>
      </w:r>
      <w:r w:rsidR="00A917F0">
        <w:rPr>
          <w:rFonts w:ascii="Times New Roman" w:hAnsi="Times New Roman" w:cs="Times New Roman"/>
          <w:sz w:val="24"/>
          <w:szCs w:val="24"/>
        </w:rPr>
        <w:t xml:space="preserve"> </w:t>
      </w:r>
      <w:r w:rsidR="003B76F6" w:rsidRPr="00A917F0">
        <w:rPr>
          <w:rFonts w:ascii="Times New Roman" w:hAnsi="Times New Roman" w:cs="Times New Roman"/>
          <w:sz w:val="24"/>
          <w:szCs w:val="24"/>
        </w:rPr>
        <w:t>15% (wynosi 17</w:t>
      </w:r>
      <w:r w:rsidRPr="00A917F0">
        <w:rPr>
          <w:rFonts w:ascii="Times New Roman" w:hAnsi="Times New Roman" w:cs="Times New Roman"/>
          <w:sz w:val="24"/>
          <w:szCs w:val="24"/>
        </w:rPr>
        <w:t xml:space="preserve">%) liczby uczestników deklarujących swój udział. Zatem koszt usługi noclegowej dla 100 osób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A917F0">
        <w:rPr>
          <w:rFonts w:ascii="Times New Roman" w:hAnsi="Times New Roman" w:cs="Times New Roman"/>
          <w:sz w:val="24"/>
          <w:szCs w:val="24"/>
        </w:rPr>
        <w:t>faktury / równoważnego dokumentu powinien być pomniejszony o koszt dot. 2 osób (10</w:t>
      </w:r>
      <w:r w:rsidR="003B76F6" w:rsidRPr="00A917F0">
        <w:rPr>
          <w:rFonts w:ascii="Times New Roman" w:hAnsi="Times New Roman" w:cs="Times New Roman"/>
          <w:sz w:val="24"/>
          <w:szCs w:val="24"/>
        </w:rPr>
        <w:t>0 – 15 [dopuszczalny limit] – 83</w:t>
      </w:r>
      <w:r w:rsidRPr="00A917F0">
        <w:rPr>
          <w:rFonts w:ascii="Times New Roman" w:hAnsi="Times New Roman" w:cs="Times New Roman"/>
          <w:sz w:val="24"/>
          <w:szCs w:val="24"/>
        </w:rPr>
        <w:t>).</w:t>
      </w:r>
    </w:p>
    <w:p w14:paraId="345AB22F" w14:textId="3CC91E7C" w:rsidR="00050530" w:rsidRPr="00915CBA" w:rsidRDefault="00050530" w:rsidP="00915CBA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9129B86" w14:textId="77777777" w:rsidR="00B75D71" w:rsidRPr="007476BD" w:rsidRDefault="007476BD" w:rsidP="00B61B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61BFC">
        <w:rPr>
          <w:rFonts w:ascii="Times New Roman" w:hAnsi="Times New Roman" w:cs="Times New Roman"/>
          <w:sz w:val="24"/>
          <w:szCs w:val="24"/>
        </w:rPr>
        <w:t>Przykłady:</w:t>
      </w:r>
    </w:p>
    <w:p w14:paraId="49E539FF" w14:textId="77777777" w:rsidR="00EA73BF" w:rsidRPr="008404FD" w:rsidRDefault="009078D0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4FD">
        <w:rPr>
          <w:rFonts w:ascii="Times New Roman" w:hAnsi="Times New Roman" w:cs="Times New Roman"/>
          <w:bCs/>
          <w:i/>
          <w:sz w:val="24"/>
          <w:szCs w:val="24"/>
        </w:rPr>
        <w:t>Przykład 1</w:t>
      </w:r>
      <w:r w:rsidR="007476BD">
        <w:rPr>
          <w:rFonts w:ascii="Times New Roman" w:hAnsi="Times New Roman" w:cs="Times New Roman"/>
          <w:bCs/>
          <w:i/>
          <w:sz w:val="24"/>
          <w:szCs w:val="24"/>
        </w:rPr>
        <w:t xml:space="preserve"> Rozliczenie wynagrodzeń</w:t>
      </w:r>
    </w:p>
    <w:p w14:paraId="79EECF10" w14:textId="7DEA0030" w:rsidR="00EA73BF" w:rsidRPr="008404FD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 xml:space="preserve">Pracownik w danym miesiącu wykonywał zadania </w:t>
      </w:r>
      <w:r w:rsidR="00D156C7" w:rsidRPr="008404FD">
        <w:rPr>
          <w:rFonts w:ascii="Times New Roman" w:hAnsi="Times New Roman" w:cs="Times New Roman"/>
          <w:i/>
          <w:sz w:val="24"/>
          <w:szCs w:val="24"/>
        </w:rPr>
        <w:t xml:space="preserve">kwalifikowalne </w:t>
      </w:r>
      <w:r w:rsidRPr="008404FD">
        <w:rPr>
          <w:rFonts w:ascii="Times New Roman" w:hAnsi="Times New Roman" w:cs="Times New Roman"/>
          <w:i/>
          <w:sz w:val="24"/>
          <w:szCs w:val="24"/>
        </w:rPr>
        <w:t>w 50%</w:t>
      </w:r>
      <w:r w:rsidR="00D156C7">
        <w:rPr>
          <w:rFonts w:ascii="Times New Roman" w:hAnsi="Times New Roman" w:cs="Times New Roman"/>
          <w:i/>
          <w:sz w:val="24"/>
          <w:szCs w:val="24"/>
        </w:rPr>
        <w:t xml:space="preserve"> swojego czasu pracy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 (na podstawie opisu stanowiska pracy)</w:t>
      </w:r>
      <w:r w:rsidR="00D156C7">
        <w:rPr>
          <w:rFonts w:ascii="Times New Roman" w:hAnsi="Times New Roman" w:cs="Times New Roman"/>
          <w:i/>
          <w:sz w:val="24"/>
          <w:szCs w:val="24"/>
        </w:rPr>
        <w:t>,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 z czego 7 dni przebywał na urlopie. Wynagrodzenie za ten miesiąc jest kwalifikowalne w 50%.</w:t>
      </w:r>
    </w:p>
    <w:p w14:paraId="598A9A70" w14:textId="77777777" w:rsidR="00EA73BF" w:rsidRPr="008404FD" w:rsidRDefault="00E66AC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>Przykład 2</w:t>
      </w:r>
      <w:r w:rsidR="007476BD">
        <w:rPr>
          <w:rFonts w:ascii="Times New Roman" w:hAnsi="Times New Roman" w:cs="Times New Roman"/>
          <w:i/>
          <w:sz w:val="24"/>
          <w:szCs w:val="24"/>
        </w:rPr>
        <w:t xml:space="preserve"> Rozliczenie DWR</w:t>
      </w:r>
    </w:p>
    <w:p w14:paraId="35539DD2" w14:textId="15E3AF42" w:rsidR="00EA73BF" w:rsidRPr="008404FD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 xml:space="preserve">Pracownik instytucji miał wypłacane wynagrodzenie będące podstawą naliczenia dodatkowego wynagrodzenia rocznego przez cały rok, z czego przez 6 miesięcy jego wynagrodzenie było finansowane w 50% z pomocy technicznej. Kwalifikowalność </w:t>
      </w:r>
      <w:r w:rsidR="00415527">
        <w:rPr>
          <w:rFonts w:ascii="Times New Roman" w:hAnsi="Times New Roman" w:cs="Times New Roman"/>
          <w:i/>
          <w:sz w:val="24"/>
          <w:szCs w:val="24"/>
        </w:rPr>
        <w:br/>
      </w:r>
      <w:r w:rsidRPr="008404FD">
        <w:rPr>
          <w:rFonts w:ascii="Times New Roman" w:hAnsi="Times New Roman" w:cs="Times New Roman"/>
          <w:i/>
          <w:sz w:val="24"/>
          <w:szCs w:val="24"/>
        </w:rPr>
        <w:t>DWR wyliczana jest następująco:</w:t>
      </w:r>
    </w:p>
    <w:p w14:paraId="63DA40AD" w14:textId="77777777" w:rsidR="00EA73BF" w:rsidRPr="008404FD" w:rsidRDefault="00EA73BF" w:rsidP="00085761">
      <w:pPr>
        <w:autoSpaceDE w:val="0"/>
        <w:autoSpaceDN w:val="0"/>
        <w:adjustRightInd w:val="0"/>
        <w:spacing w:before="60" w:after="60"/>
        <w:ind w:left="2124" w:firstLine="708"/>
        <w:rPr>
          <w:rFonts w:ascii="Times New Roman" w:eastAsia="CambriaMath" w:hAnsi="Times New Roman" w:cs="Times New Roman"/>
          <w:i/>
          <w:sz w:val="24"/>
          <w:szCs w:val="24"/>
          <w:u w:val="single"/>
        </w:rPr>
      </w:pPr>
      <w:r w:rsidRPr="008404FD">
        <w:rPr>
          <w:rFonts w:ascii="Times New Roman" w:eastAsia="CambriaMath" w:hAnsi="Times New Roman" w:cs="Times New Roman"/>
          <w:i/>
          <w:sz w:val="24"/>
          <w:szCs w:val="24"/>
          <w:u w:val="single"/>
        </w:rPr>
        <w:t xml:space="preserve">6x0,5 + 6x0 </w:t>
      </w: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=  </w:t>
      </w:r>
      <w:r w:rsidRPr="008404FD">
        <w:rPr>
          <w:rFonts w:ascii="Times New Roman" w:eastAsia="CambriaMath" w:hAnsi="Times New Roman" w:cs="Times New Roman"/>
          <w:i/>
          <w:sz w:val="24"/>
          <w:szCs w:val="24"/>
          <w:u w:val="single"/>
        </w:rPr>
        <w:t xml:space="preserve">3 </w:t>
      </w: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 =</w:t>
      </w:r>
      <w:r w:rsidR="0019508D"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 </w:t>
      </w: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>0,25</w:t>
      </w:r>
    </w:p>
    <w:p w14:paraId="46F02050" w14:textId="77777777" w:rsidR="00EA73BF" w:rsidRPr="008404FD" w:rsidRDefault="00EA73BF" w:rsidP="001A2C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Times New Roman" w:eastAsia="CambriaMath" w:hAnsi="Times New Roman" w:cs="Times New Roman"/>
          <w:i/>
          <w:sz w:val="24"/>
          <w:szCs w:val="24"/>
        </w:rPr>
      </w:pP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      12</w:t>
      </w:r>
    </w:p>
    <w:p w14:paraId="05147362" w14:textId="77777777" w:rsidR="00EA73BF" w:rsidRPr="008404FD" w:rsidRDefault="00E66ACF" w:rsidP="00085761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>Przykład 3</w:t>
      </w:r>
      <w:r w:rsidR="007476BD">
        <w:rPr>
          <w:rFonts w:ascii="Times New Roman" w:hAnsi="Times New Roman" w:cs="Times New Roman"/>
          <w:i/>
          <w:sz w:val="24"/>
          <w:szCs w:val="24"/>
        </w:rPr>
        <w:t xml:space="preserve"> Rozliczenie wynagrodzeń</w:t>
      </w:r>
    </w:p>
    <w:p w14:paraId="7C9B33AA" w14:textId="1959A7CF" w:rsidR="00EA73BF" w:rsidRDefault="00EA73BF" w:rsidP="00085761">
      <w:pPr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 xml:space="preserve">Pracownik zatrudniony jest na 0,75 etatu, ale w 60% swojego czasu pracy wykonuje zadania związane z PROW. Przyjmując za podstawę wynagrodzenie pracownika, które otrzymuje </w:t>
      </w:r>
      <w:r w:rsidR="00A327F1">
        <w:rPr>
          <w:rFonts w:ascii="Times New Roman" w:hAnsi="Times New Roman" w:cs="Times New Roman"/>
          <w:i/>
          <w:sz w:val="24"/>
          <w:szCs w:val="24"/>
        </w:rPr>
        <w:t>z</w:t>
      </w:r>
      <w:r w:rsidR="00A327F1" w:rsidRPr="008404F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0,75 etatu w wysokości 1000 zł brutto miesięcznie. Wynagrodzenie  jest kwalifikowalne </w:t>
      </w:r>
      <w:r w:rsidR="00BE498C">
        <w:rPr>
          <w:rFonts w:ascii="Times New Roman" w:hAnsi="Times New Roman" w:cs="Times New Roman"/>
          <w:i/>
          <w:sz w:val="24"/>
          <w:szCs w:val="24"/>
        </w:rPr>
        <w:br/>
      </w:r>
      <w:r w:rsidRPr="008404FD">
        <w:rPr>
          <w:rFonts w:ascii="Times New Roman" w:hAnsi="Times New Roman" w:cs="Times New Roman"/>
          <w:i/>
          <w:sz w:val="24"/>
          <w:szCs w:val="24"/>
        </w:rPr>
        <w:t>w takiej części, w jakiej dany pracownik poświęca swoją cześć pracy na zadania na rzecz PROW 2014-2020, a zatem 60% od kwoty wynagrodzenia, niezależnie od tego</w:t>
      </w:r>
      <w:r w:rsidR="00A327F1">
        <w:rPr>
          <w:rFonts w:ascii="Times New Roman" w:hAnsi="Times New Roman" w:cs="Times New Roman"/>
          <w:i/>
          <w:sz w:val="24"/>
          <w:szCs w:val="24"/>
        </w:rPr>
        <w:t>,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 czy pracownik jest zatrudniony na pełny etat, 0,75 czy 0,5 etatu.</w:t>
      </w:r>
    </w:p>
    <w:p w14:paraId="691A0262" w14:textId="77777777" w:rsidR="007476BD" w:rsidRPr="007476BD" w:rsidRDefault="007476BD" w:rsidP="007476BD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6BD">
        <w:rPr>
          <w:rFonts w:ascii="Times New Roman" w:hAnsi="Times New Roman" w:cs="Times New Roman"/>
          <w:i/>
          <w:sz w:val="24"/>
          <w:szCs w:val="24"/>
        </w:rPr>
        <w:t xml:space="preserve">Przykład </w:t>
      </w:r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Rozliczenie delegacji krajowych (ryczałt za dojazdy wykładowców) </w:t>
      </w:r>
    </w:p>
    <w:p w14:paraId="25DA4CBC" w14:textId="561CA092" w:rsidR="007476BD" w:rsidRDefault="007476BD" w:rsidP="007476BD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6BD">
        <w:rPr>
          <w:rFonts w:ascii="Times New Roman" w:hAnsi="Times New Roman" w:cs="Times New Roman"/>
          <w:i/>
          <w:sz w:val="24"/>
          <w:szCs w:val="24"/>
        </w:rPr>
        <w:t>Jeżeli koszt dojazdu wykładowców będzie uznany za celowy i niezbędny, a podróż samochodem  uzasadniona z ekonomicznego punktu widzenia,  to zasadne jest rozliczenie na podstawie kilometrówki</w:t>
      </w:r>
      <w:r w:rsidR="00A327F1">
        <w:rPr>
          <w:rFonts w:ascii="Times New Roman" w:hAnsi="Times New Roman" w:cs="Times New Roman"/>
          <w:i/>
          <w:sz w:val="24"/>
          <w:szCs w:val="24"/>
        </w:rPr>
        <w:t>,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tj. stosując rozporządzenie </w:t>
      </w:r>
      <w:r w:rsidR="00881B1D" w:rsidRPr="00881B1D">
        <w:rPr>
          <w:rFonts w:ascii="Times New Roman" w:hAnsi="Times New Roman" w:cs="Times New Roman"/>
          <w:i/>
          <w:sz w:val="24"/>
          <w:szCs w:val="24"/>
        </w:rPr>
        <w:t>o sposobie dokonania zwrotu kosztów używania do celów służbowych samochodów osobowych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wraz z przedstawieniem przez wykładowcę stosownego dokumentu wskazującego szczegółowo trasę przejazdu, liczbę faktycznie przejechanych km, zastosowaną stawkę za 1 km przebiegu</w:t>
      </w:r>
      <w:r w:rsidR="00A327F1">
        <w:rPr>
          <w:rFonts w:ascii="Times New Roman" w:hAnsi="Times New Roman" w:cs="Times New Roman"/>
          <w:i/>
          <w:sz w:val="24"/>
          <w:szCs w:val="24"/>
        </w:rPr>
        <w:t xml:space="preserve"> oraz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rodzaj pojazdu wraz z pojemnością silnika.</w:t>
      </w:r>
    </w:p>
    <w:p w14:paraId="42BE87B0" w14:textId="77777777" w:rsidR="007476BD" w:rsidRPr="008404FD" w:rsidRDefault="007476BD" w:rsidP="00085761">
      <w:pPr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68380A" w14:textId="77777777" w:rsidR="00EA73BF" w:rsidRPr="00010D5A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5A">
        <w:rPr>
          <w:rFonts w:ascii="Times New Roman" w:hAnsi="Times New Roman" w:cs="Times New Roman"/>
          <w:b/>
          <w:sz w:val="24"/>
          <w:szCs w:val="24"/>
        </w:rPr>
        <w:lastRenderedPageBreak/>
        <w:t>Świadczenia pieniężne przyznane pracownikowi podmiotu uprawnionego w związku</w:t>
      </w:r>
      <w:r w:rsidR="008A4BCD" w:rsidRPr="00010D5A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010D5A">
        <w:rPr>
          <w:rFonts w:ascii="Times New Roman" w:hAnsi="Times New Roman" w:cs="Times New Roman"/>
          <w:b/>
          <w:sz w:val="24"/>
          <w:szCs w:val="24"/>
        </w:rPr>
        <w:t xml:space="preserve"> podnoszeniem  kwalifikacji zawodowych </w:t>
      </w:r>
    </w:p>
    <w:p w14:paraId="133AADF4" w14:textId="77777777" w:rsidR="00F80CB0" w:rsidRDefault="00F80CB0" w:rsidP="00F80CB0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85761">
        <w:rPr>
          <w:rFonts w:ascii="Times New Roman" w:hAnsi="Times New Roman" w:cs="Times New Roman"/>
          <w:sz w:val="24"/>
          <w:szCs w:val="24"/>
        </w:rPr>
        <w:t>wiadcze</w:t>
      </w:r>
      <w:r>
        <w:rPr>
          <w:rFonts w:ascii="Times New Roman" w:hAnsi="Times New Roman" w:cs="Times New Roman"/>
          <w:sz w:val="24"/>
          <w:szCs w:val="24"/>
        </w:rPr>
        <w:t>ń pieniężnych przyznanych</w:t>
      </w:r>
      <w:r w:rsidRPr="00085761">
        <w:rPr>
          <w:rFonts w:ascii="Times New Roman" w:hAnsi="Times New Roman" w:cs="Times New Roman"/>
          <w:sz w:val="24"/>
          <w:szCs w:val="24"/>
        </w:rPr>
        <w:t xml:space="preserve"> pracownikowi z tytułu samodzielnego podnoszenia kwalifikacji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 kwalifikowaln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04FD">
        <w:rPr>
          <w:rFonts w:ascii="Times New Roman" w:hAnsi="Times New Roman" w:cs="Times New Roman"/>
          <w:sz w:val="24"/>
          <w:szCs w:val="24"/>
        </w:rPr>
        <w:t>, jeżeli pracownik wykon</w:t>
      </w:r>
      <w:r>
        <w:rPr>
          <w:rFonts w:ascii="Times New Roman" w:hAnsi="Times New Roman" w:cs="Times New Roman"/>
          <w:sz w:val="24"/>
          <w:szCs w:val="24"/>
        </w:rPr>
        <w:t>ywał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zadania kwalifikowalne przez co najmniej 50% swojego czasu pracy w danym miesiącu, przy czym kwota kwalifikowalna określana jest zgodnie z zasadą proporcjonalności. </w:t>
      </w:r>
    </w:p>
    <w:p w14:paraId="4D3026B5" w14:textId="0B57E357" w:rsidR="00CC1561" w:rsidRPr="000A1CC7" w:rsidRDefault="00CC1561" w:rsidP="00CC156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A327F1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wejściem w życie rozporządzenia o PT</w:t>
      </w:r>
      <w:r w:rsidR="00A327F1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 tj. przed dniem 5 października 2016 r.</w:t>
      </w:r>
      <w:r w:rsidR="009E7AA2">
        <w:rPr>
          <w:rFonts w:ascii="Times New Roman" w:hAnsi="Times New Roman" w:cs="Times New Roman"/>
          <w:sz w:val="24"/>
          <w:szCs w:val="24"/>
        </w:rPr>
        <w:t xml:space="preserve"> </w:t>
      </w:r>
      <w:r w:rsidR="00A83445" w:rsidRPr="00985CF1">
        <w:rPr>
          <w:rFonts w:ascii="Times New Roman" w:hAnsi="Times New Roman" w:cs="Times New Roman"/>
          <w:sz w:val="24"/>
          <w:szCs w:val="24"/>
        </w:rPr>
        <w:t>Ni</w:t>
      </w:r>
      <w:r w:rsidR="00A83445"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="00A83445" w:rsidRPr="00985CF1">
        <w:rPr>
          <w:rFonts w:ascii="Times New Roman" w:hAnsi="Times New Roman" w:cs="Times New Roman"/>
          <w:sz w:val="24"/>
          <w:szCs w:val="24"/>
        </w:rPr>
        <w:t>określana jest zgodnie z zasadą proporcjonalności</w:t>
      </w:r>
      <w:r w:rsidR="009E7AA2" w:rsidRPr="00985CF1">
        <w:rPr>
          <w:rFonts w:ascii="Times New Roman" w:hAnsi="Times New Roman" w:cs="Times New Roman"/>
          <w:sz w:val="24"/>
          <w:szCs w:val="24"/>
        </w:rPr>
        <w:t>.</w:t>
      </w:r>
    </w:p>
    <w:p w14:paraId="4B49C904" w14:textId="3C2A251C" w:rsidR="00F80CB0" w:rsidRPr="008404FD" w:rsidRDefault="00F80CB0" w:rsidP="00F80CB0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Odstępstwo od zasady </w:t>
      </w:r>
      <w:r w:rsidR="00A83445" w:rsidRPr="00985CF1">
        <w:rPr>
          <w:rFonts w:ascii="Times New Roman" w:hAnsi="Times New Roman" w:cs="Times New Roman"/>
          <w:sz w:val="24"/>
          <w:szCs w:val="24"/>
        </w:rPr>
        <w:t>proporcjonalności</w:t>
      </w:r>
      <w:r>
        <w:rPr>
          <w:rFonts w:ascii="Times New Roman" w:hAnsi="Times New Roman" w:cs="Times New Roman"/>
          <w:sz w:val="24"/>
          <w:szCs w:val="24"/>
        </w:rPr>
        <w:t xml:space="preserve"> może nastąpić w przypadku, gdy </w:t>
      </w:r>
      <w:r w:rsidRPr="00085761">
        <w:rPr>
          <w:rFonts w:ascii="Times New Roman" w:hAnsi="Times New Roman" w:cs="Times New Roman"/>
          <w:sz w:val="24"/>
          <w:szCs w:val="24"/>
        </w:rPr>
        <w:t xml:space="preserve">dane szkolenie, kurs itd. </w:t>
      </w:r>
      <w:r w:rsidR="00C801FE">
        <w:rPr>
          <w:rFonts w:ascii="Times New Roman" w:hAnsi="Times New Roman" w:cs="Times New Roman"/>
          <w:sz w:val="24"/>
          <w:szCs w:val="24"/>
        </w:rPr>
        <w:t>o</w:t>
      </w:r>
      <w:r w:rsidR="00CC788C">
        <w:rPr>
          <w:rFonts w:ascii="Times New Roman" w:hAnsi="Times New Roman" w:cs="Times New Roman"/>
          <w:sz w:val="24"/>
          <w:szCs w:val="24"/>
        </w:rPr>
        <w:t xml:space="preserve">bejmuje tematykę związaną </w:t>
      </w:r>
      <w:r w:rsidRPr="00085761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CC788C">
        <w:rPr>
          <w:rFonts w:ascii="Times New Roman" w:hAnsi="Times New Roman" w:cs="Times New Roman"/>
          <w:sz w:val="24"/>
          <w:szCs w:val="24"/>
        </w:rPr>
        <w:t>z realizacją</w:t>
      </w:r>
      <w:r w:rsidRPr="00085761">
        <w:rPr>
          <w:rFonts w:ascii="Times New Roman" w:hAnsi="Times New Roman" w:cs="Times New Roman"/>
          <w:sz w:val="24"/>
          <w:szCs w:val="24"/>
        </w:rPr>
        <w:t xml:space="preserve"> zadań kwalifikowalnych</w:t>
      </w:r>
      <w:r w:rsidR="00C801FE">
        <w:rPr>
          <w:rFonts w:ascii="Times New Roman" w:hAnsi="Times New Roman" w:cs="Times New Roman"/>
          <w:sz w:val="24"/>
          <w:szCs w:val="24"/>
        </w:rPr>
        <w:t xml:space="preserve">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C801FE">
        <w:rPr>
          <w:rFonts w:ascii="Times New Roman" w:hAnsi="Times New Roman" w:cs="Times New Roman"/>
          <w:sz w:val="24"/>
          <w:szCs w:val="24"/>
        </w:rPr>
        <w:t>i</w:t>
      </w:r>
      <w:r w:rsidR="00C801FE" w:rsidRPr="00085761">
        <w:rPr>
          <w:rFonts w:ascii="Times New Roman" w:hAnsi="Times New Roman" w:cs="Times New Roman"/>
          <w:sz w:val="24"/>
          <w:szCs w:val="24"/>
        </w:rPr>
        <w:t xml:space="preserve"> zdobyte umiejętności </w:t>
      </w:r>
      <w:r w:rsidR="00C801FE">
        <w:rPr>
          <w:rFonts w:ascii="Times New Roman" w:hAnsi="Times New Roman" w:cs="Times New Roman"/>
          <w:sz w:val="24"/>
          <w:szCs w:val="24"/>
        </w:rPr>
        <w:t>oraz</w:t>
      </w:r>
      <w:r w:rsidR="00C801FE" w:rsidRPr="00085761">
        <w:rPr>
          <w:rFonts w:ascii="Times New Roman" w:hAnsi="Times New Roman" w:cs="Times New Roman"/>
          <w:sz w:val="24"/>
          <w:szCs w:val="24"/>
        </w:rPr>
        <w:t xml:space="preserve"> wiedza będą mogły być wykorzystane wyłącznie przy wykonywaniu </w:t>
      </w:r>
      <w:r w:rsidR="00C801FE">
        <w:rPr>
          <w:rFonts w:ascii="Times New Roman" w:hAnsi="Times New Roman" w:cs="Times New Roman"/>
          <w:sz w:val="24"/>
          <w:szCs w:val="24"/>
        </w:rPr>
        <w:t>tych zadań</w:t>
      </w:r>
      <w:r>
        <w:rPr>
          <w:rFonts w:ascii="Times New Roman" w:hAnsi="Times New Roman" w:cs="Times New Roman"/>
          <w:sz w:val="24"/>
          <w:szCs w:val="24"/>
        </w:rPr>
        <w:t>. Wówczas istnieje możliwość kwalifikowania</w:t>
      </w:r>
      <w:r w:rsidRPr="000D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kosztów </w:t>
      </w:r>
      <w:r w:rsidRPr="000D383E">
        <w:rPr>
          <w:rFonts w:ascii="Times New Roman" w:hAnsi="Times New Roman" w:cs="Times New Roman"/>
          <w:sz w:val="24"/>
          <w:szCs w:val="24"/>
        </w:rPr>
        <w:t>w 100%.</w:t>
      </w:r>
    </w:p>
    <w:p w14:paraId="68B1816E" w14:textId="37DE7EBC" w:rsidR="00CC1561" w:rsidRDefault="00EA73BF" w:rsidP="0008576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Przykładem umiejętności i wiedzy, które nie są wykorzystywane wyłącznie przy wykonywaniu zadań kwalifikowaln</w:t>
      </w:r>
      <w:r w:rsidR="00CC1561">
        <w:rPr>
          <w:rFonts w:ascii="Times New Roman" w:hAnsi="Times New Roman" w:cs="Times New Roman"/>
          <w:sz w:val="24"/>
          <w:szCs w:val="24"/>
        </w:rPr>
        <w:t>ych</w:t>
      </w:r>
      <w:r w:rsidR="00F62381">
        <w:rPr>
          <w:rFonts w:ascii="Times New Roman" w:hAnsi="Times New Roman" w:cs="Times New Roman"/>
          <w:sz w:val="24"/>
          <w:szCs w:val="24"/>
        </w:rPr>
        <w:t>,</w:t>
      </w:r>
      <w:r w:rsidR="00CC1561">
        <w:rPr>
          <w:rFonts w:ascii="Times New Roman" w:hAnsi="Times New Roman" w:cs="Times New Roman"/>
          <w:sz w:val="24"/>
          <w:szCs w:val="24"/>
        </w:rPr>
        <w:t xml:space="preserve"> są </w:t>
      </w:r>
      <w:r w:rsidRPr="00085761">
        <w:rPr>
          <w:rFonts w:ascii="Times New Roman" w:hAnsi="Times New Roman" w:cs="Times New Roman"/>
          <w:sz w:val="24"/>
          <w:szCs w:val="24"/>
        </w:rPr>
        <w:t>kursy i szkolenia w zakresie umiejętności i wiedzy ogólnej</w:t>
      </w:r>
      <w:r w:rsidR="00CC1561">
        <w:rPr>
          <w:rFonts w:ascii="Times New Roman" w:hAnsi="Times New Roman" w:cs="Times New Roman"/>
          <w:sz w:val="24"/>
          <w:szCs w:val="24"/>
        </w:rPr>
        <w:t xml:space="preserve"> </w:t>
      </w:r>
      <w:r w:rsidR="00F62381">
        <w:rPr>
          <w:rFonts w:ascii="Times New Roman" w:hAnsi="Times New Roman" w:cs="Times New Roman"/>
          <w:sz w:val="24"/>
          <w:szCs w:val="24"/>
        </w:rPr>
        <w:t>(</w:t>
      </w:r>
      <w:r w:rsidR="00CC1561">
        <w:rPr>
          <w:rFonts w:ascii="Times New Roman" w:hAnsi="Times New Roman" w:cs="Times New Roman"/>
          <w:sz w:val="24"/>
          <w:szCs w:val="24"/>
        </w:rPr>
        <w:t>dotyczy to m</w:t>
      </w:r>
      <w:r w:rsidR="00B631D4">
        <w:rPr>
          <w:rFonts w:ascii="Times New Roman" w:hAnsi="Times New Roman" w:cs="Times New Roman"/>
          <w:sz w:val="24"/>
          <w:szCs w:val="24"/>
        </w:rPr>
        <w:t>.</w:t>
      </w:r>
      <w:r w:rsidR="00CC1561">
        <w:rPr>
          <w:rFonts w:ascii="Times New Roman" w:hAnsi="Times New Roman" w:cs="Times New Roman"/>
          <w:sz w:val="24"/>
          <w:szCs w:val="24"/>
        </w:rPr>
        <w:t>in. kursów i szkoleń</w:t>
      </w:r>
      <w:r w:rsidRPr="00085761">
        <w:rPr>
          <w:rFonts w:ascii="Times New Roman" w:hAnsi="Times New Roman" w:cs="Times New Roman"/>
          <w:sz w:val="24"/>
          <w:szCs w:val="24"/>
        </w:rPr>
        <w:t xml:space="preserve"> językowych, z umiejętności interpersonalnych,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 xml:space="preserve">z umiejętności negocjacji, zarządzania stresem, zarządzania czasem, autoprezentacji,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w zakresie posługiwania się ogólnymi narzędziami informatycznymi</w:t>
      </w:r>
      <w:r w:rsidR="00F62381">
        <w:rPr>
          <w:rFonts w:ascii="Times New Roman" w:hAnsi="Times New Roman" w:cs="Times New Roman"/>
          <w:sz w:val="24"/>
          <w:szCs w:val="24"/>
        </w:rPr>
        <w:t>)</w:t>
      </w:r>
      <w:r w:rsidRPr="000857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F5723" w14:textId="012F9A68" w:rsidR="00A061D5" w:rsidRDefault="00A061D5" w:rsidP="0097007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Pod pojęciem </w:t>
      </w:r>
      <w:r>
        <w:rPr>
          <w:rFonts w:ascii="Times New Roman" w:hAnsi="Times New Roman" w:cs="Times New Roman"/>
          <w:sz w:val="24"/>
          <w:szCs w:val="24"/>
        </w:rPr>
        <w:t xml:space="preserve">podnoszenia kwalifikacji zawodowych </w:t>
      </w:r>
      <w:r w:rsidRPr="00085761">
        <w:rPr>
          <w:rFonts w:ascii="Times New Roman" w:hAnsi="Times New Roman" w:cs="Times New Roman"/>
          <w:sz w:val="24"/>
          <w:szCs w:val="24"/>
        </w:rPr>
        <w:t>należy rozumieć dostępne formy kształcenia</w:t>
      </w:r>
      <w:r w:rsidR="00F62381">
        <w:rPr>
          <w:rFonts w:ascii="Times New Roman" w:hAnsi="Times New Roman" w:cs="Times New Roman"/>
          <w:sz w:val="24"/>
          <w:szCs w:val="24"/>
        </w:rPr>
        <w:t>,</w:t>
      </w:r>
      <w:r w:rsidRPr="00085761">
        <w:rPr>
          <w:rFonts w:ascii="Times New Roman" w:hAnsi="Times New Roman" w:cs="Times New Roman"/>
          <w:sz w:val="24"/>
          <w:szCs w:val="24"/>
        </w:rPr>
        <w:t xml:space="preserve"> tj.: szkolenia, warsztaty, seminaria, kursy, studia podyplomowe.</w:t>
      </w:r>
    </w:p>
    <w:p w14:paraId="537ED56C" w14:textId="54207000" w:rsidR="00EA73BF" w:rsidRPr="00085761" w:rsidRDefault="00EA73BF" w:rsidP="0097007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Warunkiem </w:t>
      </w:r>
      <w:r w:rsidR="00F62381">
        <w:rPr>
          <w:rFonts w:ascii="Times New Roman" w:hAnsi="Times New Roman" w:cs="Times New Roman"/>
          <w:spacing w:val="4"/>
          <w:sz w:val="24"/>
          <w:szCs w:val="24"/>
        </w:rPr>
        <w:t>kwalifikowalności kosztów</w:t>
      </w:r>
      <w:r w:rsidR="00F62381"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70077">
        <w:rPr>
          <w:rFonts w:ascii="Times New Roman" w:hAnsi="Times New Roman" w:cs="Times New Roman"/>
          <w:spacing w:val="4"/>
          <w:sz w:val="24"/>
          <w:szCs w:val="24"/>
        </w:rPr>
        <w:t>szkoleń, kursów itd.</w:t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jest zgodność</w:t>
      </w:r>
      <w:r w:rsidR="00F62381">
        <w:rPr>
          <w:rFonts w:ascii="Times New Roman" w:hAnsi="Times New Roman" w:cs="Times New Roman"/>
          <w:spacing w:val="4"/>
          <w:sz w:val="24"/>
          <w:szCs w:val="24"/>
        </w:rPr>
        <w:t xml:space="preserve"> ich</w:t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tematyki </w:t>
      </w:r>
      <w:r w:rsidR="00BF5BF9">
        <w:rPr>
          <w:rFonts w:ascii="Times New Roman" w:hAnsi="Times New Roman" w:cs="Times New Roman"/>
          <w:spacing w:val="4"/>
          <w:sz w:val="24"/>
          <w:szCs w:val="24"/>
        </w:rPr>
        <w:br/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>z polityką szkoleniową jednostki organizacyjnej oraz zakresem zadań realizowanych na zajmowanym stanowisku pracy</w:t>
      </w:r>
      <w:r w:rsidR="00F62381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określonych w opisie stanowiska pracy lub w dokumencie równoważnym</w:t>
      </w:r>
      <w:r w:rsidR="00E54A0F" w:rsidRPr="00085761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9700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 xml:space="preserve">Dokumentami potwierdzającymi </w:t>
      </w:r>
      <w:r w:rsidR="000C671A">
        <w:rPr>
          <w:rFonts w:ascii="Times New Roman" w:hAnsi="Times New Roman" w:cs="Times New Roman"/>
          <w:sz w:val="24"/>
          <w:szCs w:val="24"/>
        </w:rPr>
        <w:t>wydatki w tym zakresie powinny</w:t>
      </w:r>
      <w:r w:rsidRPr="00085761">
        <w:rPr>
          <w:rFonts w:ascii="Times New Roman" w:hAnsi="Times New Roman" w:cs="Times New Roman"/>
          <w:sz w:val="24"/>
          <w:szCs w:val="24"/>
        </w:rPr>
        <w:t xml:space="preserve"> być</w:t>
      </w:r>
      <w:r w:rsidR="000C671A">
        <w:rPr>
          <w:rFonts w:ascii="Times New Roman" w:hAnsi="Times New Roman" w:cs="Times New Roman"/>
          <w:sz w:val="24"/>
          <w:szCs w:val="24"/>
        </w:rPr>
        <w:t>:</w:t>
      </w:r>
      <w:r w:rsidRPr="00085761">
        <w:rPr>
          <w:rFonts w:ascii="Times New Roman" w:hAnsi="Times New Roman" w:cs="Times New Roman"/>
          <w:sz w:val="24"/>
          <w:szCs w:val="24"/>
        </w:rPr>
        <w:t xml:space="preserve"> dowód poniesienia kosztów przez beneficjenta</w:t>
      </w:r>
      <w:r w:rsidR="000C671A">
        <w:rPr>
          <w:rFonts w:ascii="Times New Roman" w:hAnsi="Times New Roman" w:cs="Times New Roman"/>
          <w:sz w:val="24"/>
          <w:szCs w:val="24"/>
        </w:rPr>
        <w:t xml:space="preserve"> i pracownika</w:t>
      </w:r>
      <w:r w:rsidRPr="00085761">
        <w:rPr>
          <w:rFonts w:ascii="Times New Roman" w:hAnsi="Times New Roman" w:cs="Times New Roman"/>
          <w:sz w:val="24"/>
          <w:szCs w:val="24"/>
        </w:rPr>
        <w:t xml:space="preserve"> oraz świadectwo lub inny dokument potwierdzający ukończenie kursu przez pracownika. </w:t>
      </w:r>
    </w:p>
    <w:p w14:paraId="43CE65E1" w14:textId="0CAEA4CB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Zakup materiałów szkoleniowych (np. podręczników) jest kwalifikowalny w przypadku, gdy szkolenie jest organizowane przez beneficjenta i materiały te są 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do przeprowadzenia szkolenia.</w:t>
      </w:r>
    </w:p>
    <w:p w14:paraId="602733D1" w14:textId="77777777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materiałów szkoleniowych jest niekwalifikowalny w przypadku, gdy pracownik uczestniczy w indywidualnych formach kształcenia (np. kursy językowe, studia podyplomowe) i na własne potrzeby planuje zakupić dodatkowe materiały szkoleniowe.</w:t>
      </w:r>
    </w:p>
    <w:p w14:paraId="5AFBB2EA" w14:textId="77777777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Wydatki związane z formami szkoleniowymi, w których ostatecznie pracownik nie uczestniczył, stanowią wydatek niekwalifikowalny w ramach projektów pomocy technicznej.</w:t>
      </w:r>
    </w:p>
    <w:p w14:paraId="050B9A9F" w14:textId="77777777" w:rsidR="00EA73BF" w:rsidRPr="00CC1561" w:rsidRDefault="00CC1561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>Przykład 1</w:t>
      </w:r>
    </w:p>
    <w:p w14:paraId="2937708C" w14:textId="4397ECA2" w:rsidR="00EA73BF" w:rsidRPr="00CC1561" w:rsidRDefault="00EA73BF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Pracownik zatrudniony na czas określony (do dnia 08.08.2017 r.) </w:t>
      </w:r>
      <w:r w:rsidR="008A4BCD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i </w:t>
      </w:r>
      <w:r w:rsidRPr="00CC1561">
        <w:rPr>
          <w:rFonts w:ascii="Times New Roman" w:hAnsi="Times New Roman" w:cs="Times New Roman"/>
          <w:bCs/>
          <w:i/>
          <w:sz w:val="24"/>
          <w:szCs w:val="24"/>
        </w:rPr>
        <w:t>zaangażowany w PROW 2014-2020 w 50 % zostaje wydelegowany na kurs językowy.</w:t>
      </w:r>
    </w:p>
    <w:p w14:paraId="4EE579D5" w14:textId="6B6A58B0" w:rsidR="00EA73BF" w:rsidRPr="00CC1561" w:rsidRDefault="00EA73BF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i/>
          <w:sz w:val="24"/>
          <w:szCs w:val="24"/>
        </w:rPr>
        <w:t xml:space="preserve">W związku z faktem, iż pracownik jest zatrudniony na czas określony, a kursy językowe charakteryzują się tym, że wiedza zdobywana podczas kursu będzie wykorzystywana </w:t>
      </w:r>
      <w:r w:rsidR="00BF5BF9">
        <w:rPr>
          <w:rFonts w:ascii="Times New Roman" w:hAnsi="Times New Roman" w:cs="Times New Roman"/>
          <w:i/>
          <w:sz w:val="24"/>
          <w:szCs w:val="24"/>
        </w:rPr>
        <w:br/>
      </w:r>
      <w:r w:rsidRPr="00CC1561">
        <w:rPr>
          <w:rFonts w:ascii="Times New Roman" w:hAnsi="Times New Roman" w:cs="Times New Roman"/>
          <w:i/>
          <w:sz w:val="24"/>
          <w:szCs w:val="24"/>
        </w:rPr>
        <w:lastRenderedPageBreak/>
        <w:t>w dłuższej perspektywie, nie wydaje się zasadne sfinansowanie kosztów kursu językowego dla osoby, która jest zatrudniona na czas określony.</w:t>
      </w:r>
    </w:p>
    <w:p w14:paraId="547FCB73" w14:textId="77777777" w:rsidR="00EA73BF" w:rsidRPr="00CC1561" w:rsidRDefault="00EA73BF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i/>
          <w:sz w:val="24"/>
          <w:szCs w:val="24"/>
        </w:rPr>
        <w:t xml:space="preserve">Przykład </w:t>
      </w:r>
      <w:r w:rsidR="00CC1561" w:rsidRPr="00CC1561">
        <w:rPr>
          <w:rFonts w:ascii="Times New Roman" w:hAnsi="Times New Roman" w:cs="Times New Roman"/>
          <w:i/>
          <w:sz w:val="24"/>
          <w:szCs w:val="24"/>
        </w:rPr>
        <w:t>2</w:t>
      </w:r>
      <w:r w:rsidRPr="00CC15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ACEA45" w14:textId="56855B2E" w:rsidR="00EA73BF" w:rsidRPr="00CC1561" w:rsidRDefault="0096624B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Pracownik zatrudniony </w:t>
      </w:r>
      <w:r w:rsidR="00EA73BF" w:rsidRPr="00CC1561">
        <w:rPr>
          <w:rFonts w:ascii="Times New Roman" w:hAnsi="Times New Roman" w:cs="Times New Roman"/>
          <w:bCs/>
          <w:i/>
          <w:sz w:val="24"/>
          <w:szCs w:val="24"/>
        </w:rPr>
        <w:t>na czas określony (umowa na zastępstwo do dnia 01.01.2019 r.)</w:t>
      </w:r>
      <w:r w:rsidR="008A4BCD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F5BF9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8A4BCD" w:rsidRPr="00CC1561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EA73BF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zaangażowany w PROW 2014-2020 w 50 % zostaje wydelegowany na szkolenie pn.</w:t>
      </w:r>
      <w:r w:rsidR="00732BC6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3F47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="00732BC6" w:rsidRPr="00CC1561">
        <w:rPr>
          <w:rFonts w:ascii="Times New Roman" w:hAnsi="Times New Roman" w:cs="Times New Roman"/>
          <w:bCs/>
          <w:i/>
          <w:sz w:val="24"/>
          <w:szCs w:val="24"/>
        </w:rPr>
        <w:t>Zamówienia publiczne w funduszach europejskich</w:t>
      </w:r>
      <w:r w:rsidR="00313F47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E54A0F" w:rsidRPr="00CC1561">
        <w:rPr>
          <w:rFonts w:ascii="Times New Roman" w:hAnsi="Times New Roman" w:cs="Times New Roman"/>
          <w:bCs/>
          <w:i/>
          <w:sz w:val="24"/>
          <w:szCs w:val="24"/>
        </w:rPr>
        <w:t>, wpisujące się w zakres</w:t>
      </w:r>
      <w:r w:rsidR="00983B92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opisu stanowiska pracy.</w:t>
      </w:r>
    </w:p>
    <w:p w14:paraId="46D9E178" w14:textId="47B686A4" w:rsidR="005D1103" w:rsidRDefault="00EA73BF" w:rsidP="00225BEF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W przedmiotowym przypadku tematyka jest ściśle związana z zadaniami kwalifikowalnymi, </w:t>
      </w:r>
      <w:r w:rsidR="008A572D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CC1561">
        <w:rPr>
          <w:rFonts w:ascii="Times New Roman" w:hAnsi="Times New Roman" w:cs="Times New Roman"/>
          <w:bCs/>
          <w:i/>
          <w:sz w:val="24"/>
          <w:szCs w:val="24"/>
        </w:rPr>
        <w:t>a zdobyte dzięki nim umiejętności i wiedza będą mogły być wykorzystane wyłącznie przy wykonywaniu zadań kwalifikowalnych. W</w:t>
      </w:r>
      <w:r w:rsidRPr="00CC1561">
        <w:rPr>
          <w:rFonts w:ascii="Times New Roman" w:hAnsi="Times New Roman" w:cs="Times New Roman"/>
          <w:i/>
          <w:sz w:val="24"/>
          <w:szCs w:val="24"/>
        </w:rPr>
        <w:t xml:space="preserve"> związku z powyższy</w:t>
      </w:r>
      <w:r w:rsidR="00732BC6" w:rsidRPr="00CC1561">
        <w:rPr>
          <w:rFonts w:ascii="Times New Roman" w:hAnsi="Times New Roman" w:cs="Times New Roman"/>
          <w:i/>
          <w:sz w:val="24"/>
          <w:szCs w:val="24"/>
        </w:rPr>
        <w:t>m przedmiotowe szkolenie jest k</w:t>
      </w:r>
      <w:r w:rsidRPr="00CC1561">
        <w:rPr>
          <w:rFonts w:ascii="Times New Roman" w:hAnsi="Times New Roman" w:cs="Times New Roman"/>
          <w:i/>
          <w:sz w:val="24"/>
          <w:szCs w:val="24"/>
        </w:rPr>
        <w:t>w</w:t>
      </w:r>
      <w:r w:rsidR="00732BC6" w:rsidRPr="00CC1561">
        <w:rPr>
          <w:rFonts w:ascii="Times New Roman" w:hAnsi="Times New Roman" w:cs="Times New Roman"/>
          <w:i/>
          <w:sz w:val="24"/>
          <w:szCs w:val="24"/>
        </w:rPr>
        <w:t>a</w:t>
      </w:r>
      <w:r w:rsidRPr="00CC1561">
        <w:rPr>
          <w:rFonts w:ascii="Times New Roman" w:hAnsi="Times New Roman" w:cs="Times New Roman"/>
          <w:i/>
          <w:sz w:val="24"/>
          <w:szCs w:val="24"/>
        </w:rPr>
        <w:t>lifiko</w:t>
      </w:r>
      <w:r w:rsidR="00225BEF">
        <w:rPr>
          <w:rFonts w:ascii="Times New Roman" w:hAnsi="Times New Roman" w:cs="Times New Roman"/>
          <w:i/>
          <w:sz w:val="24"/>
          <w:szCs w:val="24"/>
        </w:rPr>
        <w:t xml:space="preserve">walne w 100 % ze środków PT.  </w:t>
      </w:r>
    </w:p>
    <w:p w14:paraId="2ADB3CAF" w14:textId="77777777" w:rsidR="00225BEF" w:rsidRPr="00225BEF" w:rsidRDefault="00225BEF" w:rsidP="00225BEF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095D4A" w14:textId="77777777" w:rsidR="00EA73BF" w:rsidRPr="00010D5A" w:rsidRDefault="0091652A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EA73BF" w:rsidRPr="00010D5A">
        <w:rPr>
          <w:rFonts w:ascii="Times New Roman" w:hAnsi="Times New Roman" w:cs="Times New Roman"/>
          <w:b/>
          <w:sz w:val="24"/>
          <w:szCs w:val="24"/>
        </w:rPr>
        <w:t xml:space="preserve">i usługi </w:t>
      </w:r>
    </w:p>
    <w:p w14:paraId="3A4C9755" w14:textId="77777777" w:rsidR="003E69D0" w:rsidRDefault="00EA73BF" w:rsidP="003E69D0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szCs w:val="24"/>
        </w:rPr>
      </w:pPr>
      <w:r w:rsidRPr="00085761">
        <w:rPr>
          <w:rFonts w:ascii="Times New Roman" w:hAnsi="Times New Roman" w:cs="Times New Roman"/>
          <w:szCs w:val="24"/>
        </w:rPr>
        <w:t xml:space="preserve">Wszelkie koszty wchodzące w skład dostaw i usług </w:t>
      </w:r>
      <w:r w:rsidR="003E69D0">
        <w:rPr>
          <w:rFonts w:ascii="Times New Roman" w:hAnsi="Times New Roman" w:cs="Times New Roman"/>
          <w:szCs w:val="24"/>
        </w:rPr>
        <w:t>mogą być uznane</w:t>
      </w:r>
      <w:r w:rsidR="003E69D0" w:rsidRPr="008404FD">
        <w:rPr>
          <w:rFonts w:ascii="Times New Roman" w:hAnsi="Times New Roman" w:cs="Times New Roman"/>
          <w:szCs w:val="24"/>
        </w:rPr>
        <w:t xml:space="preserve"> za kwalifikowaln</w:t>
      </w:r>
      <w:r w:rsidR="003E69D0">
        <w:rPr>
          <w:rFonts w:ascii="Times New Roman" w:hAnsi="Times New Roman" w:cs="Times New Roman"/>
          <w:szCs w:val="24"/>
        </w:rPr>
        <w:t>e</w:t>
      </w:r>
      <w:r w:rsidR="003E69D0" w:rsidRPr="008404FD">
        <w:rPr>
          <w:rFonts w:ascii="Times New Roman" w:hAnsi="Times New Roman" w:cs="Times New Roman"/>
          <w:szCs w:val="24"/>
        </w:rPr>
        <w:t>, jeżeli pracownik wykon</w:t>
      </w:r>
      <w:r w:rsidR="003E69D0">
        <w:rPr>
          <w:rFonts w:ascii="Times New Roman" w:hAnsi="Times New Roman" w:cs="Times New Roman"/>
          <w:szCs w:val="24"/>
        </w:rPr>
        <w:t>ywał</w:t>
      </w:r>
      <w:r w:rsidR="003E69D0" w:rsidRPr="008404FD">
        <w:rPr>
          <w:rFonts w:ascii="Times New Roman" w:hAnsi="Times New Roman" w:cs="Times New Roman"/>
          <w:szCs w:val="24"/>
        </w:rPr>
        <w:t xml:space="preserve"> zadania kwalifikowalne przez co najmniej 50% swojego czasu pracy w danym miesiącu, przy czym kwota kwalifikowalna określana jest zgodnie z zasadą proporcjonalności.</w:t>
      </w:r>
      <w:r w:rsidR="003E69D0">
        <w:rPr>
          <w:rFonts w:ascii="Times New Roman" w:hAnsi="Times New Roman" w:cs="Times New Roman"/>
          <w:szCs w:val="24"/>
        </w:rPr>
        <w:t xml:space="preserve"> </w:t>
      </w:r>
    </w:p>
    <w:p w14:paraId="27565B3E" w14:textId="151B8614" w:rsidR="00EA73BF" w:rsidRPr="00085761" w:rsidRDefault="003E69D0" w:rsidP="003E69D0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313F47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</w:t>
      </w:r>
      <w:r w:rsidR="0091652A">
        <w:rPr>
          <w:rFonts w:ascii="Times New Roman" w:hAnsi="Times New Roman" w:cs="Times New Roman"/>
          <w:sz w:val="24"/>
          <w:szCs w:val="24"/>
        </w:rPr>
        <w:t>iem w życie rozporządzenia o PT</w:t>
      </w:r>
      <w:r w:rsidR="00313F47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tj. przed dniem 5 października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Niemniej w okresie tym </w:t>
      </w:r>
      <w:r w:rsidR="00313F47">
        <w:rPr>
          <w:rFonts w:ascii="Times New Roman" w:hAnsi="Times New Roman" w:cs="Times New Roman"/>
          <w:sz w:val="24"/>
          <w:szCs w:val="24"/>
        </w:rPr>
        <w:t>obowiązuje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wymóg kwalifikowalności na poziomie równym procentowemu zaangażowaniu pracownika. </w:t>
      </w:r>
    </w:p>
    <w:p w14:paraId="4DB9C147" w14:textId="022D764B" w:rsidR="005D5CEE" w:rsidRDefault="003E69D0" w:rsidP="00602FC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85761">
        <w:rPr>
          <w:rFonts w:ascii="Times New Roman" w:hAnsi="Times New Roman" w:cs="Times New Roman"/>
          <w:sz w:val="24"/>
          <w:szCs w:val="24"/>
        </w:rPr>
        <w:t>wiadcze</w:t>
      </w:r>
      <w:r>
        <w:rPr>
          <w:rFonts w:ascii="Times New Roman" w:hAnsi="Times New Roman" w:cs="Times New Roman"/>
          <w:sz w:val="24"/>
          <w:szCs w:val="24"/>
        </w:rPr>
        <w:t>ń pieniężnych przyznanych</w:t>
      </w:r>
      <w:r w:rsidRPr="00085761">
        <w:rPr>
          <w:rFonts w:ascii="Times New Roman" w:hAnsi="Times New Roman" w:cs="Times New Roman"/>
          <w:sz w:val="24"/>
          <w:szCs w:val="24"/>
        </w:rPr>
        <w:t xml:space="preserve"> pracownikowi z tytułu samodzielnego podnoszenia kwalifikacji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 kwalifikowaln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04FD">
        <w:rPr>
          <w:rFonts w:ascii="Times New Roman" w:hAnsi="Times New Roman" w:cs="Times New Roman"/>
          <w:sz w:val="24"/>
          <w:szCs w:val="24"/>
        </w:rPr>
        <w:t>, jeżeli pracownik wykon</w:t>
      </w:r>
      <w:r>
        <w:rPr>
          <w:rFonts w:ascii="Times New Roman" w:hAnsi="Times New Roman" w:cs="Times New Roman"/>
          <w:sz w:val="24"/>
          <w:szCs w:val="24"/>
        </w:rPr>
        <w:t>ywał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zadania kwalifikowalne przez co najmniej 50% swojego czasu pracy w danym miesiącu, przy czym kwota kwalifikowalna określana jest zgodnie z zasadą proporcjonalności. </w:t>
      </w:r>
    </w:p>
    <w:p w14:paraId="406C9725" w14:textId="5ECBF639" w:rsidR="00676E56" w:rsidRDefault="00EA73BF" w:rsidP="00602FCD">
      <w:pPr>
        <w:pStyle w:val="USTustnpkodeksu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085761">
        <w:rPr>
          <w:rFonts w:ascii="Times New Roman" w:hAnsi="Times New Roman" w:cs="Times New Roman"/>
          <w:szCs w:val="24"/>
        </w:rPr>
        <w:t>Ponadto</w:t>
      </w:r>
      <w:r w:rsidR="00313F47">
        <w:rPr>
          <w:rFonts w:ascii="Times New Roman" w:hAnsi="Times New Roman" w:cs="Times New Roman"/>
          <w:szCs w:val="24"/>
        </w:rPr>
        <w:t>,</w:t>
      </w:r>
      <w:r w:rsidRPr="00085761">
        <w:rPr>
          <w:rFonts w:ascii="Times New Roman" w:hAnsi="Times New Roman" w:cs="Times New Roman"/>
          <w:szCs w:val="24"/>
        </w:rPr>
        <w:t xml:space="preserve"> w </w:t>
      </w:r>
      <w:r w:rsidR="00313F47">
        <w:rPr>
          <w:rFonts w:ascii="Times New Roman" w:hAnsi="Times New Roman" w:cs="Times New Roman"/>
          <w:szCs w:val="24"/>
        </w:rPr>
        <w:t>zakres</w:t>
      </w:r>
      <w:r w:rsidR="00313F47" w:rsidRPr="00085761">
        <w:rPr>
          <w:rFonts w:ascii="Times New Roman" w:hAnsi="Times New Roman" w:cs="Times New Roman"/>
          <w:szCs w:val="24"/>
        </w:rPr>
        <w:t xml:space="preserve"> </w:t>
      </w:r>
      <w:r w:rsidRPr="00085761">
        <w:rPr>
          <w:rFonts w:ascii="Times New Roman" w:hAnsi="Times New Roman" w:cs="Times New Roman"/>
          <w:szCs w:val="24"/>
        </w:rPr>
        <w:t>kategorii koszt</w:t>
      </w:r>
      <w:r w:rsidR="00313F47">
        <w:rPr>
          <w:rFonts w:ascii="Times New Roman" w:hAnsi="Times New Roman" w:cs="Times New Roman"/>
          <w:szCs w:val="24"/>
        </w:rPr>
        <w:t>ów</w:t>
      </w:r>
      <w:r w:rsidRPr="00085761">
        <w:rPr>
          <w:rFonts w:ascii="Times New Roman" w:hAnsi="Times New Roman" w:cs="Times New Roman"/>
          <w:szCs w:val="24"/>
        </w:rPr>
        <w:t xml:space="preserve"> dostaw i usług, wpisują się</w:t>
      </w:r>
      <w:r w:rsidRPr="00085761">
        <w:rPr>
          <w:rFonts w:ascii="Times New Roman" w:eastAsia="Times New Roman" w:hAnsi="Times New Roman" w:cs="Times New Roman"/>
          <w:szCs w:val="24"/>
        </w:rPr>
        <w:t xml:space="preserve"> usług</w:t>
      </w:r>
      <w:r w:rsidRPr="00085761">
        <w:rPr>
          <w:rFonts w:ascii="Times New Roman" w:hAnsi="Times New Roman" w:cs="Times New Roman"/>
          <w:szCs w:val="24"/>
        </w:rPr>
        <w:t>i nabywane</w:t>
      </w:r>
      <w:r w:rsidRPr="00085761">
        <w:rPr>
          <w:rFonts w:ascii="Times New Roman" w:eastAsia="Times New Roman" w:hAnsi="Times New Roman" w:cs="Times New Roman"/>
          <w:szCs w:val="24"/>
        </w:rPr>
        <w:t xml:space="preserve"> w celu podnoszenia kwalifikacji zawodowych pracownika podmiotu uprawnionego. W odróżnieniu </w:t>
      </w:r>
      <w:r w:rsidRPr="00085761">
        <w:rPr>
          <w:rFonts w:ascii="Times New Roman" w:hAnsi="Times New Roman" w:cs="Times New Roman"/>
          <w:szCs w:val="24"/>
        </w:rPr>
        <w:t>od świadczenia pieniężnego przyznanego pracownikowi (o którym mowa w pkt 2)</w:t>
      </w:r>
      <w:r w:rsidRPr="00085761">
        <w:rPr>
          <w:rFonts w:ascii="Times New Roman" w:eastAsia="Times New Roman" w:hAnsi="Times New Roman" w:cs="Times New Roman"/>
          <w:szCs w:val="24"/>
        </w:rPr>
        <w:t xml:space="preserve">, w tym przypadku to podmiot uprawniony kupuje na rynku usługę w postaci kursu, szkolenia lub innej formy kształcenia, która jest świadczona jego pracownikom w celu podniesienia ich kwalifikacji zawodowych. </w:t>
      </w:r>
    </w:p>
    <w:p w14:paraId="2FDCE514" w14:textId="6CDBF768" w:rsidR="000263F3" w:rsidRDefault="008B4B17" w:rsidP="000263F3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2FCD">
        <w:rPr>
          <w:rFonts w:ascii="Times New Roman" w:hAnsi="Times New Roman" w:cs="Times New Roman"/>
          <w:sz w:val="24"/>
          <w:szCs w:val="24"/>
        </w:rPr>
        <w:t>Odstępstwo od zasady proporcjonalności może nastąpić w przypadku, gdy usługi nabywane w celu podnoszenia kwalifikacji zawodowych pracownika (szkolenie, kurs itd.) obejmuj</w:t>
      </w:r>
      <w:r w:rsidR="000263F3" w:rsidRPr="00602FCD">
        <w:rPr>
          <w:rFonts w:ascii="Times New Roman" w:hAnsi="Times New Roman" w:cs="Times New Roman"/>
          <w:sz w:val="24"/>
          <w:szCs w:val="24"/>
        </w:rPr>
        <w:t xml:space="preserve">ą </w:t>
      </w:r>
      <w:r w:rsidRPr="00602FCD">
        <w:rPr>
          <w:rFonts w:ascii="Times New Roman" w:hAnsi="Times New Roman" w:cs="Times New Roman"/>
          <w:sz w:val="24"/>
          <w:szCs w:val="24"/>
        </w:rPr>
        <w:t>tematykę związaną wyłącznie z realizacją zadań kwalifikowalnych</w:t>
      </w:r>
      <w:r w:rsidR="00313F47">
        <w:rPr>
          <w:rFonts w:ascii="Times New Roman" w:hAnsi="Times New Roman" w:cs="Times New Roman"/>
          <w:sz w:val="24"/>
          <w:szCs w:val="24"/>
        </w:rPr>
        <w:t>, a</w:t>
      </w:r>
      <w:r w:rsidRPr="00602FCD">
        <w:rPr>
          <w:rFonts w:ascii="Times New Roman" w:hAnsi="Times New Roman" w:cs="Times New Roman"/>
          <w:sz w:val="24"/>
          <w:szCs w:val="24"/>
        </w:rPr>
        <w:t xml:space="preserve"> zdobyte umiejętności oraz wiedza będą mogły być wykorzystane wyłącznie przy wykonywaniu tych zadań. Wówczas istnieje możliwość kwalifikowania kosztów w 100 %.</w:t>
      </w:r>
      <w:r w:rsidR="000263F3">
        <w:rPr>
          <w:rFonts w:ascii="Times New Roman" w:hAnsi="Times New Roman" w:cs="Times New Roman"/>
          <w:sz w:val="24"/>
          <w:szCs w:val="24"/>
        </w:rPr>
        <w:t xml:space="preserve"> </w:t>
      </w:r>
      <w:r w:rsidR="000263F3" w:rsidRPr="00050530">
        <w:rPr>
          <w:rFonts w:ascii="Times New Roman" w:hAnsi="Times New Roman" w:cs="Times New Roman"/>
          <w:sz w:val="24"/>
          <w:szCs w:val="24"/>
        </w:rPr>
        <w:t xml:space="preserve">Przykładem umiejętności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0263F3" w:rsidRPr="00050530">
        <w:rPr>
          <w:rFonts w:ascii="Times New Roman" w:hAnsi="Times New Roman" w:cs="Times New Roman"/>
          <w:sz w:val="24"/>
          <w:szCs w:val="24"/>
        </w:rPr>
        <w:t>i wiedzy, które nie są wykorzystywane wyłącznie przy wykonywaniu zadań kwalifikowalnych</w:t>
      </w:r>
      <w:r w:rsidR="00313F47">
        <w:rPr>
          <w:rFonts w:ascii="Times New Roman" w:hAnsi="Times New Roman" w:cs="Times New Roman"/>
          <w:sz w:val="24"/>
          <w:szCs w:val="24"/>
        </w:rPr>
        <w:t>,</w:t>
      </w:r>
      <w:r w:rsidR="000263F3" w:rsidRPr="00050530">
        <w:rPr>
          <w:rFonts w:ascii="Times New Roman" w:hAnsi="Times New Roman" w:cs="Times New Roman"/>
          <w:sz w:val="24"/>
          <w:szCs w:val="24"/>
        </w:rPr>
        <w:t xml:space="preserve"> są kursy i szkolenia w zakresie umiejętności i wiedzy ogólnej </w:t>
      </w:r>
      <w:r w:rsidR="00313F47">
        <w:rPr>
          <w:rFonts w:ascii="Times New Roman" w:hAnsi="Times New Roman" w:cs="Times New Roman"/>
          <w:sz w:val="24"/>
          <w:szCs w:val="24"/>
        </w:rPr>
        <w:t>(</w:t>
      </w:r>
      <w:r w:rsidR="000263F3" w:rsidRPr="00050530">
        <w:rPr>
          <w:rFonts w:ascii="Times New Roman" w:hAnsi="Times New Roman" w:cs="Times New Roman"/>
          <w:sz w:val="24"/>
          <w:szCs w:val="24"/>
        </w:rPr>
        <w:t>dotyczy to m.in. kursów i szkoleń językowych, z umiejętności interpersonalnych, z umiejętności negocjacji, zarządzania stresem, zarządzania czasem, autoprezentacji, w zakresie posługiwania się ogólnymi narzędziami informatycznymi</w:t>
      </w:r>
      <w:r w:rsidR="00313F47">
        <w:rPr>
          <w:rFonts w:ascii="Times New Roman" w:hAnsi="Times New Roman" w:cs="Times New Roman"/>
          <w:sz w:val="24"/>
          <w:szCs w:val="24"/>
        </w:rPr>
        <w:t>)</w:t>
      </w:r>
      <w:r w:rsidR="000263F3" w:rsidRPr="00050530">
        <w:rPr>
          <w:rFonts w:ascii="Times New Roman" w:hAnsi="Times New Roman" w:cs="Times New Roman"/>
          <w:sz w:val="24"/>
          <w:szCs w:val="24"/>
        </w:rPr>
        <w:t>.</w:t>
      </w:r>
      <w:r w:rsidR="000263F3" w:rsidRPr="00085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F9043" w14:textId="77777777" w:rsidR="00C4528A" w:rsidRDefault="00C4528A" w:rsidP="008B4B1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0EF375E" w14:textId="4D87BBCE" w:rsidR="00676E56" w:rsidRPr="00010D5A" w:rsidRDefault="00A83445" w:rsidP="00A83445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b/>
          <w:szCs w:val="24"/>
        </w:rPr>
      </w:pPr>
      <w:r w:rsidRPr="00010D5A">
        <w:rPr>
          <w:rFonts w:ascii="Times New Roman" w:hAnsi="Times New Roman" w:cs="Times New Roman"/>
          <w:b/>
          <w:szCs w:val="24"/>
        </w:rPr>
        <w:t>3.1.Katalog kosztów kwalifikowalnych obejmuje w szczególności:</w:t>
      </w:r>
    </w:p>
    <w:p w14:paraId="142BCB39" w14:textId="00CA5B13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</w:t>
      </w:r>
      <w:r w:rsidR="00FE1187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instalacj</w:t>
      </w:r>
      <w:r w:rsidR="00A83445">
        <w:rPr>
          <w:rFonts w:ascii="Times New Roman" w:hAnsi="Times New Roman" w:cs="Times New Roman"/>
          <w:sz w:val="24"/>
          <w:szCs w:val="24"/>
        </w:rPr>
        <w:t>ę</w:t>
      </w:r>
      <w:r w:rsidRPr="00085761">
        <w:rPr>
          <w:rFonts w:ascii="Times New Roman" w:hAnsi="Times New Roman" w:cs="Times New Roman"/>
          <w:sz w:val="24"/>
          <w:szCs w:val="24"/>
        </w:rPr>
        <w:t xml:space="preserve"> sprzętu komputerowego i oprogramowania;</w:t>
      </w:r>
    </w:p>
    <w:p w14:paraId="6F1FF46A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konserwacj</w:t>
      </w:r>
      <w:r w:rsidR="00A83445">
        <w:rPr>
          <w:rFonts w:ascii="Times New Roman" w:hAnsi="Times New Roman" w:cs="Times New Roman"/>
          <w:sz w:val="24"/>
          <w:szCs w:val="24"/>
        </w:rPr>
        <w:t>ę, utrzymanie oraz naprawę</w:t>
      </w:r>
      <w:r w:rsidRPr="00085761">
        <w:rPr>
          <w:rFonts w:ascii="Times New Roman" w:hAnsi="Times New Roman" w:cs="Times New Roman"/>
          <w:sz w:val="24"/>
          <w:szCs w:val="24"/>
        </w:rPr>
        <w:t xml:space="preserve"> sprzętu i wyposażenia;</w:t>
      </w:r>
    </w:p>
    <w:p w14:paraId="6EA908AA" w14:textId="477DC7F1" w:rsidR="009670CA" w:rsidRPr="00325B41" w:rsidRDefault="00EA73BF" w:rsidP="00BF32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</w:t>
      </w:r>
      <w:r w:rsidR="00325B41">
        <w:rPr>
          <w:rFonts w:ascii="Times New Roman" w:hAnsi="Times New Roman" w:cs="Times New Roman"/>
          <w:sz w:val="24"/>
          <w:szCs w:val="24"/>
        </w:rPr>
        <w:t xml:space="preserve">kup mebli i artykułów biurowych. </w:t>
      </w:r>
      <w:r w:rsidR="009670CA" w:rsidRPr="008D3BCF">
        <w:rPr>
          <w:rFonts w:ascii="Times New Roman" w:hAnsi="Times New Roman" w:cs="Times New Roman"/>
          <w:sz w:val="24"/>
          <w:szCs w:val="24"/>
        </w:rPr>
        <w:t>W sytuacji organizowania szkoleń, konferencji, spotkań, komitetów itp.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na które zostały zakupione materiały biurowe, </w:t>
      </w:r>
      <w:r w:rsidR="009670CA" w:rsidRPr="008D3BCF">
        <w:rPr>
          <w:rFonts w:ascii="Times New Roman" w:hAnsi="Times New Roman" w:cs="Times New Roman"/>
          <w:sz w:val="24"/>
          <w:szCs w:val="24"/>
        </w:rPr>
        <w:t>gdy faktyczna liczba uczestników, która wzięła udział w wydarzeniu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jest mniejsza o nie więcej niż 15% liczby uczestników deklarujących swój udział (przy dochowaniu należytej staranności przez organizatora wydarzenia na etapie jego planowania i rekrutacji uczestników), wówczas za koszt kwalifikowalny uzna</w:t>
      </w:r>
      <w:r w:rsidR="00325B41" w:rsidRPr="008D3BCF">
        <w:rPr>
          <w:rFonts w:ascii="Times New Roman" w:hAnsi="Times New Roman" w:cs="Times New Roman"/>
          <w:sz w:val="24"/>
          <w:szCs w:val="24"/>
        </w:rPr>
        <w:t>je się koszt zakupu materiałów biurowych</w:t>
      </w:r>
      <w:r w:rsidR="003B745B">
        <w:rPr>
          <w:rFonts w:ascii="Times New Roman" w:hAnsi="Times New Roman" w:cs="Times New Roman"/>
          <w:sz w:val="24"/>
          <w:szCs w:val="24"/>
        </w:rPr>
        <w:t xml:space="preserve"> w całości wynikający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z deklarowanego udziału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9670CA" w:rsidRPr="008D3BCF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9630B" w:rsidRPr="008D3BCF">
        <w:rPr>
          <w:rFonts w:ascii="Times New Roman" w:hAnsi="Times New Roman" w:cs="Times New Roman"/>
          <w:sz w:val="24"/>
          <w:szCs w:val="24"/>
        </w:rPr>
        <w:t>sób,</w:t>
      </w:r>
      <w:r w:rsidR="00FE1187">
        <w:rPr>
          <w:rFonts w:ascii="Times New Roman" w:hAnsi="Times New Roman" w:cs="Times New Roman"/>
          <w:sz w:val="24"/>
          <w:szCs w:val="24"/>
        </w:rPr>
        <w:t xml:space="preserve">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FE1187">
        <w:rPr>
          <w:rFonts w:ascii="Times New Roman" w:hAnsi="Times New Roman" w:cs="Times New Roman"/>
          <w:sz w:val="24"/>
          <w:szCs w:val="24"/>
        </w:rPr>
        <w:t>a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="009670CA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jest mniejsza o nie więcej niż 15</w:t>
      </w:r>
      <w:r w:rsidR="0039630B" w:rsidRPr="008D3BCF">
        <w:rPr>
          <w:rFonts w:ascii="Times New Roman" w:hAnsi="Times New Roman" w:cs="Times New Roman"/>
          <w:sz w:val="24"/>
          <w:szCs w:val="24"/>
        </w:rPr>
        <w:t>% (wynosi 13</w:t>
      </w:r>
      <w:r w:rsidR="009670CA" w:rsidRPr="008D3BCF">
        <w:rPr>
          <w:rFonts w:ascii="Times New Roman" w:hAnsi="Times New Roman" w:cs="Times New Roman"/>
          <w:sz w:val="24"/>
          <w:szCs w:val="24"/>
        </w:rPr>
        <w:t>%) liczby uczestników deklarujących sw</w:t>
      </w:r>
      <w:r w:rsidR="00325B41" w:rsidRPr="008D3BCF">
        <w:rPr>
          <w:rFonts w:ascii="Times New Roman" w:hAnsi="Times New Roman" w:cs="Times New Roman"/>
          <w:sz w:val="24"/>
          <w:szCs w:val="24"/>
        </w:rPr>
        <w:t xml:space="preserve">ój udział. Zatem koszt zakupu materiałów biurowych </w:t>
      </w:r>
      <w:r w:rsidR="009670CA" w:rsidRPr="008D3BCF">
        <w:rPr>
          <w:rFonts w:ascii="Times New Roman" w:hAnsi="Times New Roman" w:cs="Times New Roman"/>
          <w:sz w:val="24"/>
          <w:szCs w:val="24"/>
        </w:rPr>
        <w:t>dla 100 osób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9670CA" w:rsidRPr="008D3BCF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jest kwalifikowalny w 100%.</w:t>
      </w:r>
      <w:r w:rsidR="008D3BCF" w:rsidRPr="008D3BCF">
        <w:t xml:space="preserve"> </w:t>
      </w:r>
      <w:r w:rsidR="008D3BCF">
        <w:rPr>
          <w:rFonts w:ascii="Times New Roman" w:hAnsi="Times New Roman" w:cs="Times New Roman"/>
          <w:sz w:val="24"/>
          <w:szCs w:val="24"/>
        </w:rPr>
        <w:t>Przykład 2: W </w:t>
      </w:r>
      <w:r w:rsidR="008D3BCF" w:rsidRPr="008D3BCF">
        <w:rPr>
          <w:rFonts w:ascii="Times New Roman" w:hAnsi="Times New Roman" w:cs="Times New Roman"/>
          <w:sz w:val="24"/>
          <w:szCs w:val="24"/>
        </w:rPr>
        <w:t>wydarzeniu udział zadeklarowało 100 osób,</w:t>
      </w:r>
      <w:r w:rsidR="00FE1187">
        <w:rPr>
          <w:rFonts w:ascii="Times New Roman" w:hAnsi="Times New Roman" w:cs="Times New Roman"/>
          <w:sz w:val="24"/>
          <w:szCs w:val="24"/>
        </w:rPr>
        <w:t xml:space="preserve"> a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3B745B">
        <w:rPr>
          <w:rFonts w:ascii="Times New Roman" w:hAnsi="Times New Roman" w:cs="Times New Roman"/>
          <w:sz w:val="24"/>
          <w:szCs w:val="24"/>
        </w:rPr>
        <w:t>faktycznie udział wzięł</w:t>
      </w:r>
      <w:r w:rsidR="00FE1187">
        <w:rPr>
          <w:rFonts w:ascii="Times New Roman" w:hAnsi="Times New Roman" w:cs="Times New Roman"/>
          <w:sz w:val="24"/>
          <w:szCs w:val="24"/>
        </w:rPr>
        <w:t>y</w:t>
      </w:r>
      <w:r w:rsidR="003B745B">
        <w:rPr>
          <w:rFonts w:ascii="Times New Roman" w:hAnsi="Times New Roman" w:cs="Times New Roman"/>
          <w:sz w:val="24"/>
          <w:szCs w:val="24"/>
        </w:rPr>
        <w:t xml:space="preserve"> 83 osoby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. Zatem faktyczna liczba uczestników, która nie wzięła udziału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8D3BCF" w:rsidRPr="008D3BCF">
        <w:rPr>
          <w:rFonts w:ascii="Times New Roman" w:hAnsi="Times New Roman" w:cs="Times New Roman"/>
          <w:sz w:val="24"/>
          <w:szCs w:val="24"/>
        </w:rPr>
        <w:t>w wydarzeniu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FE1187">
        <w:rPr>
          <w:rFonts w:ascii="Times New Roman" w:hAnsi="Times New Roman" w:cs="Times New Roman"/>
          <w:sz w:val="24"/>
          <w:szCs w:val="24"/>
        </w:rPr>
        <w:t>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15% (wynosi 17%) liczby uczestników deklarujących swój udział. Zatem koszt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zakupu materiałów biurowych 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dla 100 </w:t>
      </w:r>
      <w:r w:rsidR="008D3BCF">
        <w:rPr>
          <w:rFonts w:ascii="Times New Roman" w:hAnsi="Times New Roman" w:cs="Times New Roman"/>
          <w:sz w:val="24"/>
          <w:szCs w:val="24"/>
        </w:rPr>
        <w:t>osób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8D3BCF">
        <w:rPr>
          <w:rFonts w:ascii="Times New Roman" w:hAnsi="Times New Roman" w:cs="Times New Roman"/>
          <w:sz w:val="24"/>
          <w:szCs w:val="24"/>
        </w:rPr>
        <w:t xml:space="preserve"> wynikający z wystawionej i </w:t>
      </w:r>
      <w:r w:rsidR="008D3BCF" w:rsidRPr="008D3BCF">
        <w:rPr>
          <w:rFonts w:ascii="Times New Roman" w:hAnsi="Times New Roman" w:cs="Times New Roman"/>
          <w:sz w:val="24"/>
          <w:szCs w:val="24"/>
        </w:rPr>
        <w:t>opłaconej faktury / równoważnego dokumentu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powinien być pomniejszony o koszt dot. 2 osób (</w:t>
      </w:r>
      <w:r w:rsidR="00BF3285" w:rsidRPr="00BF3285">
        <w:rPr>
          <w:rFonts w:ascii="Times New Roman" w:hAnsi="Times New Roman" w:cs="Times New Roman"/>
          <w:sz w:val="24"/>
          <w:szCs w:val="24"/>
        </w:rPr>
        <w:t>100 – 15 [dopuszczalny limit] – 83)</w:t>
      </w:r>
      <w:r w:rsidR="008D3BCF">
        <w:rPr>
          <w:rFonts w:ascii="Times New Roman" w:hAnsi="Times New Roman" w:cs="Times New Roman"/>
          <w:sz w:val="24"/>
          <w:szCs w:val="24"/>
        </w:rPr>
        <w:t>);</w:t>
      </w:r>
    </w:p>
    <w:p w14:paraId="1EC0A4A5" w14:textId="77777777" w:rsidR="00224B85" w:rsidRPr="00085761" w:rsidRDefault="00224B85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certyfikowanych zestawów do podpisu elektronicznego wraz z usługą ich odnowienia;</w:t>
      </w:r>
    </w:p>
    <w:p w14:paraId="5F791DAA" w14:textId="78ABEB1C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koszty najmu i utrzymania pomieszczeń </w:t>
      </w:r>
      <w:r w:rsidR="005F5375" w:rsidRPr="005F5375">
        <w:rPr>
          <w:rFonts w:ascii="Times New Roman" w:hAnsi="Times New Roman" w:cs="Times New Roman"/>
          <w:sz w:val="24"/>
          <w:szCs w:val="24"/>
        </w:rPr>
        <w:t xml:space="preserve">takich jak: pokoje biurowe, pokoje socjalne, korytarze, sanitariaty, serwerownie i centrale telekomunikacyjne oraz </w:t>
      </w:r>
      <w:r w:rsidR="00FF27C7">
        <w:rPr>
          <w:rFonts w:ascii="Times New Roman" w:hAnsi="Times New Roman" w:cs="Times New Roman"/>
          <w:sz w:val="24"/>
          <w:szCs w:val="24"/>
        </w:rPr>
        <w:t xml:space="preserve"> </w:t>
      </w:r>
      <w:r w:rsidR="005F5375" w:rsidRPr="005F5375">
        <w:rPr>
          <w:rFonts w:ascii="Times New Roman" w:hAnsi="Times New Roman" w:cs="Times New Roman"/>
          <w:sz w:val="24"/>
          <w:szCs w:val="24"/>
        </w:rPr>
        <w:t>sal</w:t>
      </w:r>
      <w:r w:rsidR="00FF27C7">
        <w:rPr>
          <w:rFonts w:ascii="Times New Roman" w:hAnsi="Times New Roman" w:cs="Times New Roman"/>
          <w:sz w:val="24"/>
          <w:szCs w:val="24"/>
        </w:rPr>
        <w:t>e</w:t>
      </w:r>
      <w:r w:rsidR="005F5375" w:rsidRPr="005F5375">
        <w:rPr>
          <w:rFonts w:ascii="Times New Roman" w:hAnsi="Times New Roman" w:cs="Times New Roman"/>
          <w:sz w:val="24"/>
          <w:szCs w:val="24"/>
        </w:rPr>
        <w:t xml:space="preserve"> konferencyjn</w:t>
      </w:r>
      <w:r w:rsidR="00FF27C7">
        <w:rPr>
          <w:rFonts w:ascii="Times New Roman" w:hAnsi="Times New Roman" w:cs="Times New Roman"/>
          <w:sz w:val="24"/>
          <w:szCs w:val="24"/>
        </w:rPr>
        <w:t>e</w:t>
      </w:r>
      <w:r w:rsidR="005F5375" w:rsidRPr="005F5375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(</w:t>
      </w:r>
      <w:r w:rsidR="00D90AE1">
        <w:rPr>
          <w:rFonts w:ascii="Times New Roman" w:hAnsi="Times New Roman" w:cs="Times New Roman"/>
          <w:sz w:val="24"/>
          <w:szCs w:val="24"/>
        </w:rPr>
        <w:t>m.in. koszty centralnego</w:t>
      </w:r>
      <w:r w:rsidR="00AF44ED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ogrzewania, energii elektrycznej, dostarczenia wody i odprowadzenia ścieków, sprzątania pomieszczeń i ochrony obiektu oraz konserwacji wind osobowych);</w:t>
      </w:r>
    </w:p>
    <w:p w14:paraId="4473E6CA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usług pocztowych oraz kurierskich;</w:t>
      </w:r>
    </w:p>
    <w:p w14:paraId="2D6999AB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prowizji/opłat bankowych;</w:t>
      </w:r>
    </w:p>
    <w:p w14:paraId="4738F722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opłat manipulacyjnych (np. dopłata za bilet kolejowy u konduktora, opłata za zmianę rezerwacji biletu lotniczego itp.) mogą być uznane za kwalifikowalne jedynie w uzasadnionych okolicznościach;</w:t>
      </w:r>
    </w:p>
    <w:p w14:paraId="6F6DAE29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</w:t>
      </w:r>
      <w:r w:rsidR="008A4BCD" w:rsidRPr="00085761">
        <w:rPr>
          <w:rFonts w:ascii="Times New Roman" w:hAnsi="Times New Roman" w:cs="Times New Roman"/>
          <w:sz w:val="24"/>
          <w:szCs w:val="24"/>
        </w:rPr>
        <w:t>y</w:t>
      </w:r>
      <w:r w:rsidRPr="00085761">
        <w:rPr>
          <w:rFonts w:ascii="Times New Roman" w:hAnsi="Times New Roman" w:cs="Times New Roman"/>
          <w:sz w:val="24"/>
          <w:szCs w:val="24"/>
        </w:rPr>
        <w:t xml:space="preserve"> rozmów telefonicznych;</w:t>
      </w:r>
    </w:p>
    <w:p w14:paraId="5DBF60CA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użytkowaniem Internetu;</w:t>
      </w:r>
    </w:p>
    <w:p w14:paraId="11F11601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usług telekomunik</w:t>
      </w:r>
      <w:r w:rsidR="006B5734" w:rsidRPr="00085761">
        <w:rPr>
          <w:rFonts w:ascii="Times New Roman" w:hAnsi="Times New Roman" w:cs="Times New Roman"/>
          <w:sz w:val="24"/>
          <w:szCs w:val="24"/>
        </w:rPr>
        <w:t>acyjnych, w tym zakup telefonów</w:t>
      </w:r>
      <w:r w:rsidRPr="00085761">
        <w:rPr>
          <w:rFonts w:ascii="Times New Roman" w:hAnsi="Times New Roman" w:cs="Times New Roman"/>
          <w:sz w:val="24"/>
          <w:szCs w:val="24"/>
        </w:rPr>
        <w:t xml:space="preserve"> i opłaty abonamentowe;</w:t>
      </w:r>
    </w:p>
    <w:p w14:paraId="68E5D810" w14:textId="3E8F28C8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</w:t>
      </w:r>
      <w:r w:rsidR="008A4BCD" w:rsidRPr="00085761">
        <w:rPr>
          <w:rFonts w:ascii="Times New Roman" w:hAnsi="Times New Roman" w:cs="Times New Roman"/>
          <w:sz w:val="24"/>
          <w:szCs w:val="24"/>
        </w:rPr>
        <w:t>y</w:t>
      </w:r>
      <w:r w:rsidRPr="00085761">
        <w:rPr>
          <w:rFonts w:ascii="Times New Roman" w:hAnsi="Times New Roman" w:cs="Times New Roman"/>
          <w:sz w:val="24"/>
          <w:szCs w:val="24"/>
        </w:rPr>
        <w:t xml:space="preserve"> opracowania ekspertyz, analiz oraz materiałów związanych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z funkcjonowaniem KM lub jego grup roboczych;</w:t>
      </w:r>
    </w:p>
    <w:p w14:paraId="549EC463" w14:textId="77777777" w:rsidR="00EA73BF" w:rsidRPr="00085761" w:rsidRDefault="008A4BCD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lastRenderedPageBreak/>
        <w:t>koszty związane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z usługami nabywanymi w celu podnoszenia kwalifikacji zawodowych pracownika podmiotu uprawnionego;</w:t>
      </w:r>
    </w:p>
    <w:p w14:paraId="69E0FD5A" w14:textId="77777777" w:rsidR="00EA73BF" w:rsidRPr="00085761" w:rsidRDefault="008A4BCD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koszty </w:t>
      </w:r>
      <w:r w:rsidR="00EA73BF" w:rsidRPr="00085761">
        <w:rPr>
          <w:rFonts w:ascii="Times New Roman" w:hAnsi="Times New Roman" w:cs="Times New Roman"/>
          <w:sz w:val="24"/>
          <w:szCs w:val="24"/>
        </w:rPr>
        <w:t>tłumaczenia oraz weryfikacja tłumaczeń;</w:t>
      </w:r>
    </w:p>
    <w:p w14:paraId="77645B68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usług kserograficznych;</w:t>
      </w:r>
    </w:p>
    <w:p w14:paraId="60138C55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wynajęcie </w:t>
      </w:r>
      <w:proofErr w:type="spellStart"/>
      <w:r w:rsidRPr="0008576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085761">
        <w:rPr>
          <w:rFonts w:ascii="Times New Roman" w:hAnsi="Times New Roman" w:cs="Times New Roman"/>
          <w:sz w:val="24"/>
          <w:szCs w:val="24"/>
        </w:rPr>
        <w:t>, sprzętu multimedialnego i nagłośnienia;</w:t>
      </w:r>
    </w:p>
    <w:p w14:paraId="68FB73EA" w14:textId="7B022712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zbiorów i baz danych na potrzeby sporządzania badań, ewaluacji, ekspertyz</w:t>
      </w:r>
      <w:r w:rsidR="00663CB1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opinii;</w:t>
      </w:r>
    </w:p>
    <w:p w14:paraId="119ACC73" w14:textId="577C236F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wynajem długoterminowy lub leasing środków transportu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="006B5734" w:rsidRPr="00085761">
        <w:rPr>
          <w:rFonts w:ascii="Times New Roman" w:hAnsi="Times New Roman" w:cs="Times New Roman"/>
          <w:sz w:val="24"/>
          <w:szCs w:val="24"/>
        </w:rPr>
        <w:t>z wyjątkiem leasingu związanego</w:t>
      </w:r>
      <w:r w:rsidRPr="00085761">
        <w:rPr>
          <w:rFonts w:ascii="Times New Roman" w:hAnsi="Times New Roman" w:cs="Times New Roman"/>
          <w:sz w:val="24"/>
          <w:szCs w:val="24"/>
        </w:rPr>
        <w:t xml:space="preserve"> z umową leasingu środków transportu, zakończonego przeniesieniem prawa własności tych środków  transportu;</w:t>
      </w:r>
    </w:p>
    <w:p w14:paraId="7AA21597" w14:textId="1CA1C6AA" w:rsidR="00C4271A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niezbędne naprawy, przegląd techniczny, ubezpieczenie, serwis, zakup paliwa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i utrzymanie środków transportu oraz opłaty autostradowe;</w:t>
      </w:r>
    </w:p>
    <w:p w14:paraId="37233C70" w14:textId="4AA15E25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zakup publikacji książkowych o tematyce specjalistycznej związanej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z realizacją zadań kwalifikowalnych oraz prasy o takiej tematyce;</w:t>
      </w:r>
    </w:p>
    <w:p w14:paraId="5DD274D2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przechowywaniem oraz archiwizacją dokumentów;</w:t>
      </w:r>
    </w:p>
    <w:p w14:paraId="6DD877D9" w14:textId="02E73A6E" w:rsidR="00EA73BF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aparatury, sprzętu laboratoryjneg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o i wyposażenia niezbędnego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do  </w:t>
      </w:r>
      <w:r w:rsidRPr="00085761">
        <w:rPr>
          <w:rFonts w:ascii="Times New Roman" w:hAnsi="Times New Roman" w:cs="Times New Roman"/>
          <w:sz w:val="24"/>
          <w:szCs w:val="24"/>
        </w:rPr>
        <w:t>wykonywania prac, o których mowa w art. 32 oraz</w:t>
      </w:r>
      <w:r w:rsidR="00663CB1">
        <w:rPr>
          <w:rFonts w:ascii="Times New Roman" w:hAnsi="Times New Roman" w:cs="Times New Roman"/>
          <w:sz w:val="24"/>
          <w:szCs w:val="24"/>
        </w:rPr>
        <w:t xml:space="preserve"> art.</w:t>
      </w:r>
      <w:r w:rsidRPr="00085761">
        <w:rPr>
          <w:rFonts w:ascii="Times New Roman" w:hAnsi="Times New Roman" w:cs="Times New Roman"/>
          <w:sz w:val="24"/>
          <w:szCs w:val="24"/>
        </w:rPr>
        <w:t xml:space="preserve"> 68 lit. a  rozporządzenia nr 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1305/2013;</w:t>
      </w:r>
    </w:p>
    <w:p w14:paraId="5061480D" w14:textId="0208E36E" w:rsidR="00485BD9" w:rsidRPr="008D3BCF" w:rsidRDefault="00485BD9" w:rsidP="00BF32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F36560">
        <w:rPr>
          <w:rFonts w:ascii="Times New Roman" w:hAnsi="Times New Roman" w:cs="Times New Roman"/>
          <w:sz w:val="24"/>
          <w:szCs w:val="24"/>
        </w:rPr>
        <w:t>koszty wyżywienia</w:t>
      </w:r>
      <w:r w:rsidRPr="008D3BCF">
        <w:rPr>
          <w:rFonts w:ascii="Times New Roman" w:hAnsi="Times New Roman" w:cs="Times New Roman"/>
          <w:sz w:val="24"/>
          <w:szCs w:val="24"/>
        </w:rPr>
        <w:t xml:space="preserve"> (np. catering lub zakup artykułów spożywczych) </w:t>
      </w:r>
      <w:r w:rsidR="00550280" w:rsidRPr="008D3BCF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8D3BCF">
        <w:rPr>
          <w:rFonts w:ascii="Times New Roman" w:hAnsi="Times New Roman" w:cs="Times New Roman"/>
          <w:sz w:val="24"/>
          <w:szCs w:val="24"/>
        </w:rPr>
        <w:t>do przygotowania poczęstunku w przypadku organizowania szkoleń, konferencji, spotkań, komitetów</w:t>
      </w:r>
      <w:r w:rsidR="000D0CC2" w:rsidRPr="008D3BCF">
        <w:rPr>
          <w:rFonts w:ascii="Times New Roman" w:hAnsi="Times New Roman" w:cs="Times New Roman"/>
          <w:sz w:val="24"/>
          <w:szCs w:val="24"/>
        </w:rPr>
        <w:t xml:space="preserve"> itp</w:t>
      </w:r>
      <w:r w:rsidRPr="008D3BCF">
        <w:rPr>
          <w:rFonts w:ascii="Times New Roman" w:hAnsi="Times New Roman" w:cs="Times New Roman"/>
          <w:sz w:val="24"/>
          <w:szCs w:val="24"/>
        </w:rPr>
        <w:t xml:space="preserve">. </w:t>
      </w:r>
      <w:r w:rsidR="00B27F0B" w:rsidRPr="008D3BCF">
        <w:rPr>
          <w:rFonts w:ascii="Times New Roman" w:hAnsi="Times New Roman" w:cs="Times New Roman"/>
          <w:sz w:val="24"/>
          <w:szCs w:val="24"/>
        </w:rPr>
        <w:t>W przypadku gdy faktyczna liczba uczestników, która wzięła udział w wydarzeniu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jest mni</w:t>
      </w:r>
      <w:r w:rsidR="0065453A" w:rsidRPr="008D3BCF">
        <w:rPr>
          <w:rFonts w:ascii="Times New Roman" w:hAnsi="Times New Roman" w:cs="Times New Roman"/>
          <w:sz w:val="24"/>
          <w:szCs w:val="24"/>
        </w:rPr>
        <w:t>ejsza o nie więcej niż 15</w:t>
      </w:r>
      <w:r w:rsidR="00B27F0B" w:rsidRPr="008D3BCF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3B745B">
        <w:rPr>
          <w:rFonts w:ascii="Times New Roman" w:hAnsi="Times New Roman" w:cs="Times New Roman"/>
          <w:sz w:val="24"/>
          <w:szCs w:val="24"/>
        </w:rPr>
        <w:t>teringowej w całości wynikający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B27F0B" w:rsidRPr="008D3BCF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9630B" w:rsidRPr="008D3BCF">
        <w:rPr>
          <w:rFonts w:ascii="Times New Roman" w:hAnsi="Times New Roman" w:cs="Times New Roman"/>
          <w:sz w:val="24"/>
          <w:szCs w:val="24"/>
        </w:rPr>
        <w:t>sób,</w:t>
      </w:r>
      <w:r w:rsidR="00663CB1">
        <w:rPr>
          <w:rFonts w:ascii="Times New Roman" w:hAnsi="Times New Roman" w:cs="Times New Roman"/>
          <w:sz w:val="24"/>
          <w:szCs w:val="24"/>
        </w:rPr>
        <w:t xml:space="preserve"> a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="00B27F0B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j</w:t>
      </w:r>
      <w:r w:rsidR="0065453A" w:rsidRPr="008D3BCF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39630B" w:rsidRPr="008D3BCF">
        <w:rPr>
          <w:rFonts w:ascii="Times New Roman" w:hAnsi="Times New Roman" w:cs="Times New Roman"/>
          <w:sz w:val="24"/>
          <w:szCs w:val="24"/>
        </w:rPr>
        <w:t>% (wynosi 13</w:t>
      </w:r>
      <w:r w:rsidR="00B27F0B" w:rsidRPr="008D3BCF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D3BCF" w:rsidRPr="008D3BCF">
        <w:rPr>
          <w:rFonts w:ascii="Times New Roman" w:hAnsi="Times New Roman" w:cs="Times New Roman"/>
          <w:sz w:val="24"/>
          <w:szCs w:val="24"/>
        </w:rPr>
        <w:t>tu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8D3BCF">
        <w:rPr>
          <w:rFonts w:ascii="Times New Roman" w:hAnsi="Times New Roman" w:cs="Times New Roman"/>
          <w:sz w:val="24"/>
          <w:szCs w:val="24"/>
        </w:rPr>
        <w:t>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050530" w:rsidRPr="008D3BCF">
        <w:rPr>
          <w:rFonts w:ascii="Times New Roman" w:hAnsi="Times New Roman" w:cs="Times New Roman"/>
          <w:sz w:val="24"/>
          <w:szCs w:val="24"/>
        </w:rPr>
        <w:t>W wydarzeniu udział zadeklarowało 100 o</w:t>
      </w:r>
      <w:r w:rsidR="0039630B" w:rsidRPr="008D3BCF">
        <w:rPr>
          <w:rFonts w:ascii="Times New Roman" w:hAnsi="Times New Roman" w:cs="Times New Roman"/>
          <w:sz w:val="24"/>
          <w:szCs w:val="24"/>
        </w:rPr>
        <w:t>sób,</w:t>
      </w:r>
      <w:r w:rsidR="00663CB1">
        <w:rPr>
          <w:rFonts w:ascii="Times New Roman" w:hAnsi="Times New Roman" w:cs="Times New Roman"/>
          <w:sz w:val="24"/>
          <w:szCs w:val="24"/>
        </w:rPr>
        <w:t xml:space="preserve"> a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663CB1">
        <w:rPr>
          <w:rFonts w:ascii="Times New Roman" w:hAnsi="Times New Roman" w:cs="Times New Roman"/>
          <w:sz w:val="24"/>
          <w:szCs w:val="24"/>
        </w:rPr>
        <w:t>y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39630B" w:rsidRPr="008D3BCF">
        <w:rPr>
          <w:rFonts w:ascii="Times New Roman" w:hAnsi="Times New Roman" w:cs="Times New Roman"/>
          <w:sz w:val="24"/>
          <w:szCs w:val="24"/>
        </w:rPr>
        <w:t>83</w:t>
      </w:r>
      <w:r w:rsidR="003B745B">
        <w:rPr>
          <w:rFonts w:ascii="Times New Roman" w:hAnsi="Times New Roman" w:cs="Times New Roman"/>
          <w:sz w:val="24"/>
          <w:szCs w:val="24"/>
        </w:rPr>
        <w:t xml:space="preserve"> osoby</w:t>
      </w:r>
      <w:r w:rsidR="00663CB1">
        <w:rPr>
          <w:rFonts w:ascii="Times New Roman" w:hAnsi="Times New Roman" w:cs="Times New Roman"/>
          <w:sz w:val="24"/>
          <w:szCs w:val="24"/>
        </w:rPr>
        <w:t>.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65453A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65453A" w:rsidRPr="008D3BCF">
        <w:rPr>
          <w:rFonts w:ascii="Times New Roman" w:hAnsi="Times New Roman" w:cs="Times New Roman"/>
          <w:sz w:val="24"/>
          <w:szCs w:val="24"/>
        </w:rPr>
        <w:t>w wydarzeniu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65453A" w:rsidRPr="008D3BCF">
        <w:rPr>
          <w:rFonts w:ascii="Times New Roman" w:hAnsi="Times New Roman" w:cs="Times New Roman"/>
          <w:sz w:val="24"/>
          <w:szCs w:val="24"/>
        </w:rPr>
        <w:t xml:space="preserve"> jest więks</w:t>
      </w:r>
      <w:r w:rsidR="008D3BCF" w:rsidRPr="008D3BCF">
        <w:rPr>
          <w:rFonts w:ascii="Times New Roman" w:hAnsi="Times New Roman" w:cs="Times New Roman"/>
          <w:sz w:val="24"/>
          <w:szCs w:val="24"/>
        </w:rPr>
        <w:t>za o</w:t>
      </w:r>
      <w:r w:rsidR="00663CB1">
        <w:rPr>
          <w:rFonts w:ascii="Times New Roman" w:hAnsi="Times New Roman" w:cs="Times New Roman"/>
          <w:sz w:val="24"/>
          <w:szCs w:val="24"/>
        </w:rPr>
        <w:t>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65453A" w:rsidRPr="008D3BCF">
        <w:rPr>
          <w:rFonts w:ascii="Times New Roman" w:hAnsi="Times New Roman" w:cs="Times New Roman"/>
          <w:sz w:val="24"/>
          <w:szCs w:val="24"/>
        </w:rPr>
        <w:t>15</w:t>
      </w:r>
      <w:r w:rsidR="0039630B" w:rsidRPr="008D3BCF">
        <w:rPr>
          <w:rFonts w:ascii="Times New Roman" w:hAnsi="Times New Roman" w:cs="Times New Roman"/>
          <w:sz w:val="24"/>
          <w:szCs w:val="24"/>
        </w:rPr>
        <w:t>% (wynosi 17</w:t>
      </w:r>
      <w:r w:rsidR="00050530" w:rsidRPr="008D3BCF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50530" w:rsidRPr="008D3BCF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BF3285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D3BCF" w:rsidRPr="008D3BCF">
        <w:rPr>
          <w:rFonts w:ascii="Times New Roman" w:hAnsi="Times New Roman" w:cs="Times New Roman"/>
          <w:sz w:val="24"/>
          <w:szCs w:val="24"/>
        </w:rPr>
        <w:t>);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397FF" w14:textId="5DB97F7F" w:rsidR="00050530" w:rsidRPr="00EE5364" w:rsidRDefault="00485BD9" w:rsidP="00EE536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D3BCF">
        <w:rPr>
          <w:rFonts w:ascii="Times New Roman" w:hAnsi="Times New Roman" w:cs="Times New Roman"/>
          <w:sz w:val="24"/>
          <w:szCs w:val="24"/>
        </w:rPr>
        <w:t xml:space="preserve">koszt </w:t>
      </w:r>
      <w:r w:rsidR="00B27F0B" w:rsidRPr="008D3BCF">
        <w:rPr>
          <w:rFonts w:ascii="Times New Roman" w:hAnsi="Times New Roman" w:cs="Times New Roman"/>
          <w:sz w:val="24"/>
          <w:szCs w:val="24"/>
        </w:rPr>
        <w:t>noclegu</w:t>
      </w:r>
      <w:r w:rsidR="000F71E9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5D6663">
        <w:rPr>
          <w:rFonts w:ascii="Times New Roman" w:hAnsi="Times New Roman" w:cs="Times New Roman"/>
          <w:sz w:val="24"/>
          <w:szCs w:val="24"/>
        </w:rPr>
        <w:t>w związku z</w:t>
      </w:r>
      <w:r w:rsidRPr="008D3BCF">
        <w:rPr>
          <w:rFonts w:ascii="Times New Roman" w:hAnsi="Times New Roman" w:cs="Times New Roman"/>
          <w:sz w:val="24"/>
          <w:szCs w:val="24"/>
        </w:rPr>
        <w:t xml:space="preserve"> organizowani</w:t>
      </w:r>
      <w:r w:rsidR="005D6663">
        <w:rPr>
          <w:rFonts w:ascii="Times New Roman" w:hAnsi="Times New Roman" w:cs="Times New Roman"/>
          <w:sz w:val="24"/>
          <w:szCs w:val="24"/>
        </w:rPr>
        <w:t>em</w:t>
      </w:r>
      <w:r w:rsidRPr="008D3BCF">
        <w:rPr>
          <w:rFonts w:ascii="Times New Roman" w:hAnsi="Times New Roman" w:cs="Times New Roman"/>
          <w:sz w:val="24"/>
          <w:szCs w:val="24"/>
        </w:rPr>
        <w:t xml:space="preserve"> szkoleń, konferencji, spotkań, komitetów</w:t>
      </w:r>
      <w:r w:rsidR="000D0CC2" w:rsidRPr="008D3BCF">
        <w:rPr>
          <w:rFonts w:ascii="Times New Roman" w:hAnsi="Times New Roman" w:cs="Times New Roman"/>
          <w:sz w:val="24"/>
          <w:szCs w:val="24"/>
        </w:rPr>
        <w:t xml:space="preserve"> itp</w:t>
      </w:r>
      <w:r w:rsidRPr="008D3BCF">
        <w:rPr>
          <w:rFonts w:ascii="Times New Roman" w:hAnsi="Times New Roman" w:cs="Times New Roman"/>
          <w:sz w:val="24"/>
          <w:szCs w:val="24"/>
        </w:rPr>
        <w:t xml:space="preserve">. </w:t>
      </w:r>
      <w:r w:rsidR="00B27F0B" w:rsidRPr="008D3BCF">
        <w:rPr>
          <w:rFonts w:ascii="Times New Roman" w:hAnsi="Times New Roman" w:cs="Times New Roman"/>
          <w:sz w:val="24"/>
          <w:szCs w:val="24"/>
        </w:rPr>
        <w:t>W przypadku gdy faktyczna liczba uczestników, która została zgłoszona do korzystania z usługi noclegu</w:t>
      </w:r>
      <w:r w:rsidR="005D6663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j</w:t>
      </w:r>
      <w:r w:rsidR="008D3BCF" w:rsidRPr="008D3BCF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% liczby uczestników deklarujących swój udział (przy dochowaniu należytej staranności przez organizatora wydarzenia na etapie jego planowania i rekrutacji uczestników), wówczas za koszt kwalifikowalny uznaje się koszt usługi </w:t>
      </w:r>
      <w:r w:rsidR="003B745B">
        <w:rPr>
          <w:rFonts w:ascii="Times New Roman" w:hAnsi="Times New Roman" w:cs="Times New Roman"/>
          <w:sz w:val="24"/>
          <w:szCs w:val="24"/>
        </w:rPr>
        <w:lastRenderedPageBreak/>
        <w:t>noclegowej w całości wynikający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5D6663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B27F0B" w:rsidRPr="00EE5364">
        <w:rPr>
          <w:rFonts w:ascii="Times New Roman" w:hAnsi="Times New Roman" w:cs="Times New Roman"/>
          <w:sz w:val="24"/>
          <w:szCs w:val="24"/>
        </w:rPr>
        <w:t>W wydarzeniu udział zadeklarowało 100 o</w:t>
      </w:r>
      <w:r w:rsidR="003B76F6" w:rsidRPr="00EE5364">
        <w:rPr>
          <w:rFonts w:ascii="Times New Roman" w:hAnsi="Times New Roman" w:cs="Times New Roman"/>
          <w:sz w:val="24"/>
          <w:szCs w:val="24"/>
        </w:rPr>
        <w:t>sób,</w:t>
      </w:r>
      <w:r w:rsidR="005D6663" w:rsidRPr="00EE5364">
        <w:rPr>
          <w:rFonts w:ascii="Times New Roman" w:hAnsi="Times New Roman" w:cs="Times New Roman"/>
          <w:sz w:val="24"/>
          <w:szCs w:val="24"/>
        </w:rPr>
        <w:t xml:space="preserve"> a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 w:rsidRPr="00EE5364">
        <w:rPr>
          <w:rFonts w:ascii="Times New Roman" w:hAnsi="Times New Roman" w:cs="Times New Roman"/>
          <w:sz w:val="24"/>
          <w:szCs w:val="24"/>
        </w:rPr>
        <w:t xml:space="preserve"> osób</w:t>
      </w:r>
      <w:r w:rsidR="00B27F0B" w:rsidRPr="00EE5364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B27F0B" w:rsidRPr="00EE5364">
        <w:rPr>
          <w:rFonts w:ascii="Times New Roman" w:hAnsi="Times New Roman" w:cs="Times New Roman"/>
          <w:sz w:val="24"/>
          <w:szCs w:val="24"/>
        </w:rPr>
        <w:t xml:space="preserve"> j</w:t>
      </w:r>
      <w:r w:rsidR="003B76F6" w:rsidRPr="00EE5364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B27F0B" w:rsidRPr="00EE5364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B27F0B" w:rsidRPr="00EE5364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B27F0B" w:rsidRPr="00EE5364">
        <w:rPr>
          <w:rFonts w:ascii="Times New Roman" w:hAnsi="Times New Roman" w:cs="Times New Roman"/>
          <w:sz w:val="24"/>
          <w:szCs w:val="24"/>
        </w:rPr>
        <w:t>z wystawionej i opłaconej faktury / równoważnego dokumen</w:t>
      </w:r>
      <w:r w:rsidR="008D3BCF" w:rsidRPr="00EE5364">
        <w:rPr>
          <w:rFonts w:ascii="Times New Roman" w:hAnsi="Times New Roman" w:cs="Times New Roman"/>
          <w:sz w:val="24"/>
          <w:szCs w:val="24"/>
        </w:rPr>
        <w:t>tu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8D3BCF" w:rsidRPr="00EE5364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EE5364">
        <w:rPr>
          <w:rFonts w:ascii="Times New Roman" w:hAnsi="Times New Roman" w:cs="Times New Roman"/>
          <w:sz w:val="24"/>
          <w:szCs w:val="24"/>
        </w:rPr>
        <w:t>Przykład</w:t>
      </w:r>
      <w:r w:rsidR="008D3BCF" w:rsidRPr="00EE5364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: W wydarzeniu udział zadeklarowało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50530" w:rsidRPr="00EE5364">
        <w:rPr>
          <w:rFonts w:ascii="Times New Roman" w:hAnsi="Times New Roman" w:cs="Times New Roman"/>
          <w:sz w:val="24"/>
          <w:szCs w:val="24"/>
        </w:rPr>
        <w:t>100 osób,</w:t>
      </w:r>
      <w:r w:rsidR="005D6663" w:rsidRPr="00EE5364">
        <w:rPr>
          <w:rFonts w:ascii="Times New Roman" w:hAnsi="Times New Roman" w:cs="Times New Roman"/>
          <w:sz w:val="24"/>
          <w:szCs w:val="24"/>
        </w:rPr>
        <w:t xml:space="preserve"> a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 faktycznie u</w:t>
      </w:r>
      <w:r w:rsidR="003B76F6" w:rsidRPr="00EE5364">
        <w:rPr>
          <w:rFonts w:ascii="Times New Roman" w:hAnsi="Times New Roman" w:cs="Times New Roman"/>
          <w:sz w:val="24"/>
          <w:szCs w:val="24"/>
        </w:rPr>
        <w:t>dział wzięł</w:t>
      </w:r>
      <w:r w:rsidR="005D6663" w:rsidRPr="00EE5364">
        <w:rPr>
          <w:rFonts w:ascii="Times New Roman" w:hAnsi="Times New Roman" w:cs="Times New Roman"/>
          <w:sz w:val="24"/>
          <w:szCs w:val="24"/>
        </w:rPr>
        <w:t>y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83</w:t>
      </w:r>
      <w:r w:rsidR="003B745B" w:rsidRPr="00EE5364">
        <w:rPr>
          <w:rFonts w:ascii="Times New Roman" w:hAnsi="Times New Roman" w:cs="Times New Roman"/>
          <w:sz w:val="24"/>
          <w:szCs w:val="24"/>
        </w:rPr>
        <w:t xml:space="preserve"> oso</w:t>
      </w:r>
      <w:r w:rsidR="00050530" w:rsidRPr="00EE5364">
        <w:rPr>
          <w:rFonts w:ascii="Times New Roman" w:hAnsi="Times New Roman" w:cs="Times New Roman"/>
          <w:sz w:val="24"/>
          <w:szCs w:val="24"/>
        </w:rPr>
        <w:t>b</w:t>
      </w:r>
      <w:r w:rsidR="003B745B" w:rsidRPr="00EE5364">
        <w:rPr>
          <w:rFonts w:ascii="Times New Roman" w:hAnsi="Times New Roman" w:cs="Times New Roman"/>
          <w:sz w:val="24"/>
          <w:szCs w:val="24"/>
        </w:rPr>
        <w:t xml:space="preserve">y. </w:t>
      </w:r>
      <w:r w:rsidR="00050530" w:rsidRPr="00EE5364">
        <w:rPr>
          <w:rFonts w:ascii="Times New Roman" w:hAnsi="Times New Roman" w:cs="Times New Roman"/>
          <w:sz w:val="24"/>
          <w:szCs w:val="24"/>
        </w:rPr>
        <w:t>Zatem faktyczna liczba uczestników, która nie wzięła udziału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w wydarzeniu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5D6663" w:rsidRPr="00EE5364">
        <w:rPr>
          <w:rFonts w:ascii="Times New Roman" w:hAnsi="Times New Roman" w:cs="Times New Roman"/>
          <w:sz w:val="24"/>
          <w:szCs w:val="24"/>
        </w:rPr>
        <w:t>d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 15% (wynosi 17</w:t>
      </w:r>
      <w:r w:rsidR="00050530" w:rsidRPr="00EE5364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50530" w:rsidRPr="00EE5364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 powinien być pomniejszony o koszt dot.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2 osób </w:t>
      </w:r>
      <w:r w:rsidR="00BF3285" w:rsidRPr="00EE5364">
        <w:rPr>
          <w:rFonts w:ascii="Times New Roman" w:hAnsi="Times New Roman" w:cs="Times New Roman"/>
          <w:sz w:val="24"/>
          <w:szCs w:val="24"/>
        </w:rPr>
        <w:t>(100 – 15 [dopuszczalny limit] – 83)</w:t>
      </w:r>
      <w:r w:rsidR="008D3BCF" w:rsidRPr="00EE5364">
        <w:rPr>
          <w:rFonts w:ascii="Times New Roman" w:hAnsi="Times New Roman" w:cs="Times New Roman"/>
          <w:sz w:val="24"/>
          <w:szCs w:val="24"/>
        </w:rPr>
        <w:t>);</w:t>
      </w:r>
    </w:p>
    <w:p w14:paraId="13F22D59" w14:textId="5DBC6C55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wsparcia</w:t>
      </w:r>
      <w:r w:rsidR="005D6663">
        <w:rPr>
          <w:rFonts w:ascii="Times New Roman" w:hAnsi="Times New Roman" w:cs="Times New Roman"/>
          <w:sz w:val="24"/>
          <w:szCs w:val="24"/>
        </w:rPr>
        <w:t xml:space="preserve"> ze strony</w:t>
      </w:r>
      <w:r w:rsidRPr="00085761">
        <w:rPr>
          <w:rFonts w:ascii="Times New Roman" w:hAnsi="Times New Roman" w:cs="Times New Roman"/>
          <w:sz w:val="24"/>
          <w:szCs w:val="24"/>
        </w:rPr>
        <w:t xml:space="preserve"> ekspertów oraz wykładowców;</w:t>
      </w:r>
    </w:p>
    <w:p w14:paraId="4CC266C7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realizacją Planu Ewaluacji Programu Rozwoju Obszarów Wiejskich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2014-2020</w:t>
      </w:r>
      <w:r w:rsidR="00D2673E" w:rsidRPr="00085761">
        <w:rPr>
          <w:rFonts w:ascii="Times New Roman" w:hAnsi="Times New Roman" w:cs="Times New Roman"/>
          <w:sz w:val="24"/>
          <w:szCs w:val="24"/>
        </w:rPr>
        <w:t xml:space="preserve"> (np. ekspertyzy)</w:t>
      </w:r>
      <w:r w:rsidRPr="00085761">
        <w:rPr>
          <w:rFonts w:ascii="Times New Roman" w:hAnsi="Times New Roman" w:cs="Times New Roman"/>
          <w:sz w:val="24"/>
          <w:szCs w:val="24"/>
        </w:rPr>
        <w:t>;</w:t>
      </w:r>
    </w:p>
    <w:p w14:paraId="58EDCA04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przeprowadzeniem oceny ex-post PROW 2007-2013;</w:t>
      </w:r>
    </w:p>
    <w:p w14:paraId="356BE09B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grzejników, wentylatorów, klimatyzatorów;</w:t>
      </w:r>
    </w:p>
    <w:p w14:paraId="06947C65" w14:textId="74A0AD2A" w:rsidR="00EA73BF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rolet, zasłon;</w:t>
      </w:r>
    </w:p>
    <w:p w14:paraId="6C506040" w14:textId="3C565CC8" w:rsidR="0060780B" w:rsidRPr="003B745B" w:rsidRDefault="0060780B" w:rsidP="006078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B745B">
        <w:rPr>
          <w:rFonts w:ascii="Times New Roman" w:hAnsi="Times New Roman" w:cs="Times New Roman"/>
          <w:sz w:val="24"/>
          <w:szCs w:val="24"/>
        </w:rPr>
        <w:t>zakup szaf pancernych, sejfów;</w:t>
      </w:r>
    </w:p>
    <w:p w14:paraId="6A626A26" w14:textId="0A996117" w:rsidR="003F063B" w:rsidRPr="00050530" w:rsidRDefault="00C57AC3" w:rsidP="0060780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 xml:space="preserve">zakup </w:t>
      </w:r>
      <w:r w:rsidR="00693712" w:rsidRPr="00050530">
        <w:rPr>
          <w:rFonts w:ascii="Times New Roman" w:hAnsi="Times New Roman" w:cs="Times New Roman"/>
          <w:sz w:val="24"/>
          <w:szCs w:val="24"/>
        </w:rPr>
        <w:t>odzieży ochronnej  na potrzeby kontroli projektów</w:t>
      </w:r>
      <w:r w:rsidR="00EF1710" w:rsidRPr="00050530">
        <w:rPr>
          <w:rFonts w:ascii="Times New Roman" w:hAnsi="Times New Roman" w:cs="Times New Roman"/>
          <w:sz w:val="24"/>
          <w:szCs w:val="24"/>
        </w:rPr>
        <w:t>,</w:t>
      </w:r>
      <w:r w:rsidR="00FE487B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D90AE1" w:rsidRPr="0005053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27F0B" w:rsidRPr="00050530">
        <w:rPr>
          <w:rFonts w:ascii="Times New Roman" w:hAnsi="Times New Roman" w:cs="Times New Roman"/>
          <w:sz w:val="24"/>
          <w:szCs w:val="24"/>
        </w:rPr>
        <w:t xml:space="preserve"> załącznikiem nr 2 do </w:t>
      </w:r>
      <w:r w:rsidR="005B6F52" w:rsidRPr="00050530">
        <w:rPr>
          <w:rFonts w:ascii="Times New Roman" w:hAnsi="Times New Roman" w:cs="Times New Roman"/>
          <w:sz w:val="24"/>
          <w:szCs w:val="24"/>
        </w:rPr>
        <w:t xml:space="preserve">rozporządzenia Ministra Pracy i Polityki Socjalnej z dnia 26 września 1997 r. w sprawie ogólnych przepisów bezpieczeństwa i higieny pracy </w:t>
      </w:r>
      <w:r w:rsidR="00B54AFD" w:rsidRPr="00050530">
        <w:rPr>
          <w:rFonts w:ascii="Times New Roman" w:hAnsi="Times New Roman" w:cs="Times New Roman"/>
          <w:sz w:val="24"/>
          <w:szCs w:val="24"/>
        </w:rPr>
        <w:t xml:space="preserve">(Dz.U. </w:t>
      </w:r>
      <w:r w:rsidR="00CD47A9" w:rsidRPr="00050530">
        <w:rPr>
          <w:rFonts w:ascii="Times New Roman" w:hAnsi="Times New Roman" w:cs="Times New Roman"/>
          <w:sz w:val="24"/>
          <w:szCs w:val="24"/>
        </w:rPr>
        <w:t xml:space="preserve">z 2003 </w:t>
      </w:r>
      <w:r w:rsidR="00B54AFD" w:rsidRPr="00050530">
        <w:rPr>
          <w:rFonts w:ascii="Times New Roman" w:hAnsi="Times New Roman" w:cs="Times New Roman"/>
          <w:sz w:val="24"/>
          <w:szCs w:val="24"/>
        </w:rPr>
        <w:t>poz.</w:t>
      </w:r>
      <w:r w:rsidR="00CD47A9" w:rsidRPr="00050530">
        <w:rPr>
          <w:rFonts w:ascii="Times New Roman" w:hAnsi="Times New Roman" w:cs="Times New Roman"/>
          <w:sz w:val="24"/>
          <w:szCs w:val="24"/>
        </w:rPr>
        <w:t>1650</w:t>
      </w:r>
      <w:r w:rsidR="00B54AFD" w:rsidRPr="00050530">
        <w:rPr>
          <w:rFonts w:ascii="Times New Roman" w:hAnsi="Times New Roman" w:cs="Times New Roman"/>
          <w:sz w:val="24"/>
          <w:szCs w:val="24"/>
        </w:rPr>
        <w:t>, z późn.zm.</w:t>
      </w:r>
      <w:r w:rsidR="00F5497E" w:rsidRPr="00050530">
        <w:rPr>
          <w:rFonts w:ascii="Times New Roman" w:hAnsi="Times New Roman" w:cs="Times New Roman"/>
          <w:sz w:val="24"/>
          <w:szCs w:val="24"/>
        </w:rPr>
        <w:t>)</w:t>
      </w:r>
      <w:r w:rsidR="00050530">
        <w:rPr>
          <w:rFonts w:ascii="Times New Roman" w:hAnsi="Times New Roman" w:cs="Times New Roman"/>
          <w:sz w:val="24"/>
          <w:szCs w:val="24"/>
        </w:rPr>
        <w:t>;</w:t>
      </w:r>
    </w:p>
    <w:p w14:paraId="5FEDA6A5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B3198">
        <w:rPr>
          <w:rFonts w:ascii="Times New Roman" w:hAnsi="Times New Roman" w:cs="Times New Roman"/>
          <w:sz w:val="24"/>
          <w:szCs w:val="24"/>
        </w:rPr>
        <w:t>koszty uzyskania zaświadczeń oraz wszelkiej do</w:t>
      </w:r>
      <w:r w:rsidR="00732BC6" w:rsidRPr="00AB3198">
        <w:rPr>
          <w:rFonts w:ascii="Times New Roman" w:hAnsi="Times New Roman" w:cs="Times New Roman"/>
          <w:sz w:val="24"/>
          <w:szCs w:val="24"/>
        </w:rPr>
        <w:t>kumentacji związanej z operacją</w:t>
      </w:r>
      <w:r w:rsidRPr="00AB3198">
        <w:rPr>
          <w:rFonts w:ascii="Times New Roman" w:hAnsi="Times New Roman" w:cs="Times New Roman"/>
          <w:sz w:val="24"/>
          <w:szCs w:val="24"/>
        </w:rPr>
        <w:t>;</w:t>
      </w:r>
    </w:p>
    <w:p w14:paraId="3B1EF650" w14:textId="392E6B86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umowy cywilnoprawne w przypadku uzasadnionej konieczności, z wyjątkiem umów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cywilnoprawnych zawieranych przez daną instytucję z własnymi  pracownikami;</w:t>
      </w:r>
    </w:p>
    <w:p w14:paraId="2DDC23E5" w14:textId="51445FD3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przeprowadzeniem postępowania o udzielenie zamówienia</w:t>
      </w:r>
      <w:r w:rsidR="006B5734" w:rsidRPr="00085761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publicznego;</w:t>
      </w:r>
    </w:p>
    <w:p w14:paraId="76AA01C9" w14:textId="6C62AA5F" w:rsidR="00225BEF" w:rsidRPr="00225BEF" w:rsidRDefault="00EA73BF" w:rsidP="00BF32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materiałów szkoleniowych (np. podręczników)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Pr="00085761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gdy szkolenie </w:t>
      </w:r>
      <w:r w:rsidR="00C4271A" w:rsidRPr="00085761">
        <w:rPr>
          <w:rFonts w:ascii="Times New Roman" w:hAnsi="Times New Roman" w:cs="Times New Roman"/>
          <w:sz w:val="24"/>
          <w:szCs w:val="24"/>
        </w:rPr>
        <w:t xml:space="preserve">jest </w:t>
      </w:r>
      <w:r w:rsidRPr="00085761">
        <w:rPr>
          <w:rFonts w:ascii="Times New Roman" w:hAnsi="Times New Roman" w:cs="Times New Roman"/>
          <w:sz w:val="24"/>
          <w:szCs w:val="24"/>
        </w:rPr>
        <w:t>orga</w:t>
      </w:r>
      <w:r w:rsidRPr="008D3BCF">
        <w:rPr>
          <w:rFonts w:ascii="Times New Roman" w:hAnsi="Times New Roman" w:cs="Times New Roman"/>
          <w:sz w:val="24"/>
          <w:szCs w:val="24"/>
        </w:rPr>
        <w:t>nizowane przez beneficjenta i materiały te są niezbędne do</w:t>
      </w:r>
      <w:r w:rsidR="006B5734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szkolenia.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225BEF" w:rsidRPr="008D3BCF">
        <w:rPr>
          <w:rFonts w:ascii="Times New Roman" w:hAnsi="Times New Roman" w:cs="Times New Roman"/>
          <w:sz w:val="24"/>
          <w:szCs w:val="24"/>
        </w:rPr>
        <w:t>W sytuacji organizowania szkoleń, konferencji, spotkań, komitetów itp.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na które zakupiono materiały szkoleniowe,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gdy faktyczna liczba uczestników, która wzięła udział w wydarzeniu jest mniejsza o nie więcej niż 15% liczby uczestników deklarujących swój udział (przy dochowaniu należytej staranności przez organizatora wydarzenia na etapie jego planowania i rekrutacji uczestników), wówczas za koszt kwalifikowalny uznaje się k</w:t>
      </w:r>
      <w:r w:rsidR="008D3BCF">
        <w:rPr>
          <w:rFonts w:ascii="Times New Roman" w:hAnsi="Times New Roman" w:cs="Times New Roman"/>
          <w:sz w:val="24"/>
          <w:szCs w:val="24"/>
        </w:rPr>
        <w:t>oszt zakupu materiałów szkoleniowych</w:t>
      </w:r>
      <w:r w:rsidR="003B745B">
        <w:rPr>
          <w:rFonts w:ascii="Times New Roman" w:hAnsi="Times New Roman" w:cs="Times New Roman"/>
          <w:sz w:val="24"/>
          <w:szCs w:val="24"/>
        </w:rPr>
        <w:t xml:space="preserve"> w całości wynikający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225BEF" w:rsidRPr="008D3BCF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3F2B46">
        <w:rPr>
          <w:rFonts w:ascii="Times New Roman" w:hAnsi="Times New Roman" w:cs="Times New Roman"/>
          <w:sz w:val="24"/>
          <w:szCs w:val="24"/>
        </w:rPr>
        <w:t xml:space="preserve"> a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f</w:t>
      </w:r>
      <w:r w:rsidR="003B745B">
        <w:rPr>
          <w:rFonts w:ascii="Times New Roman" w:hAnsi="Times New Roman" w:cs="Times New Roman"/>
          <w:sz w:val="24"/>
          <w:szCs w:val="24"/>
        </w:rPr>
        <w:t>aktycznie udział wzięło 87 osób</w:t>
      </w:r>
      <w:r w:rsidR="00225BEF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jest mniejsza o nie więcej niż 15% (wynosi 13%) liczby uczestników deklarujących </w:t>
      </w:r>
      <w:r w:rsidR="00225BEF" w:rsidRPr="008D3BCF">
        <w:rPr>
          <w:rFonts w:ascii="Times New Roman" w:hAnsi="Times New Roman" w:cs="Times New Roman"/>
          <w:sz w:val="24"/>
          <w:szCs w:val="24"/>
        </w:rPr>
        <w:lastRenderedPageBreak/>
        <w:t xml:space="preserve">swój udział. Zatem koszt zakupu </w:t>
      </w:r>
      <w:r w:rsidR="008D3BCF" w:rsidRPr="008D3BCF">
        <w:rPr>
          <w:rFonts w:ascii="Times New Roman" w:hAnsi="Times New Roman" w:cs="Times New Roman"/>
          <w:sz w:val="24"/>
          <w:szCs w:val="24"/>
        </w:rPr>
        <w:t>materiałów szkoleniowych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dla 100 osób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D3BCF" w:rsidRPr="008D3BCF">
        <w:rPr>
          <w:rFonts w:ascii="Times New Roman" w:hAnsi="Times New Roman" w:cs="Times New Roman"/>
          <w:sz w:val="24"/>
          <w:szCs w:val="24"/>
        </w:rPr>
        <w:t>tu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kwalifikowalny w 100%. Przykład 2: W wydarzeniu udział zadeklarowało 100 osób,</w:t>
      </w:r>
      <w:r w:rsidR="003F2B46">
        <w:rPr>
          <w:rFonts w:ascii="Times New Roman" w:hAnsi="Times New Roman" w:cs="Times New Roman"/>
          <w:sz w:val="24"/>
          <w:szCs w:val="24"/>
        </w:rPr>
        <w:t xml:space="preserve"> a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3B745B">
        <w:rPr>
          <w:rFonts w:ascii="Times New Roman" w:hAnsi="Times New Roman" w:cs="Times New Roman"/>
          <w:sz w:val="24"/>
          <w:szCs w:val="24"/>
        </w:rPr>
        <w:t>faktycznie udział wzięł</w:t>
      </w:r>
      <w:r w:rsidR="003F2B46">
        <w:rPr>
          <w:rFonts w:ascii="Times New Roman" w:hAnsi="Times New Roman" w:cs="Times New Roman"/>
          <w:sz w:val="24"/>
          <w:szCs w:val="24"/>
        </w:rPr>
        <w:t>y</w:t>
      </w:r>
      <w:r w:rsidR="003B745B">
        <w:rPr>
          <w:rFonts w:ascii="Times New Roman" w:hAnsi="Times New Roman" w:cs="Times New Roman"/>
          <w:sz w:val="24"/>
          <w:szCs w:val="24"/>
        </w:rPr>
        <w:t xml:space="preserve"> 83 osoby</w:t>
      </w:r>
      <w:r w:rsidR="008D3BCF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3F2B46">
        <w:rPr>
          <w:rFonts w:ascii="Times New Roman" w:hAnsi="Times New Roman" w:cs="Times New Roman"/>
          <w:sz w:val="24"/>
          <w:szCs w:val="24"/>
        </w:rPr>
        <w:t>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15% (wynosi 17%) liczby uczestników deklarujących swój udział. Zatem koszt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zakupu materiałów szkoleniowych </w:t>
      </w:r>
      <w:r w:rsidR="008D3BCF" w:rsidRPr="008D3BCF">
        <w:rPr>
          <w:rFonts w:ascii="Times New Roman" w:hAnsi="Times New Roman" w:cs="Times New Roman"/>
          <w:sz w:val="24"/>
          <w:szCs w:val="24"/>
        </w:rPr>
        <w:t>dla 100 osób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faktury / równoważnego dokumentu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powinien być pomniejszony o koszt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BF3285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D3BCF" w:rsidRPr="008D3BCF">
        <w:rPr>
          <w:rFonts w:ascii="Times New Roman" w:hAnsi="Times New Roman" w:cs="Times New Roman"/>
          <w:sz w:val="24"/>
          <w:szCs w:val="24"/>
        </w:rPr>
        <w:t>);</w:t>
      </w:r>
    </w:p>
    <w:p w14:paraId="1DB1BC11" w14:textId="59A8FD80" w:rsidR="00EA73BF" w:rsidRDefault="006B5734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wynajmu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stanowisk garażowych/parki</w:t>
      </w:r>
      <w:r w:rsidR="00435E2F" w:rsidRPr="00085761">
        <w:rPr>
          <w:rFonts w:ascii="Times New Roman" w:hAnsi="Times New Roman" w:cs="Times New Roman"/>
          <w:sz w:val="24"/>
          <w:szCs w:val="24"/>
        </w:rPr>
        <w:t>ngowych samochodów służbowych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435E2F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435E2F" w:rsidRPr="00085761">
        <w:rPr>
          <w:rFonts w:ascii="Times New Roman" w:hAnsi="Times New Roman" w:cs="Times New Roman"/>
          <w:sz w:val="24"/>
          <w:szCs w:val="24"/>
        </w:rPr>
        <w:t>w</w:t>
      </w:r>
      <w:r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="00435E2F" w:rsidRPr="00085761">
        <w:rPr>
          <w:rFonts w:ascii="Times New Roman" w:hAnsi="Times New Roman" w:cs="Times New Roman"/>
          <w:sz w:val="24"/>
          <w:szCs w:val="24"/>
        </w:rPr>
        <w:t>przypadku gdy beneficjent nie dysponuje swoim zapleczem.</w:t>
      </w:r>
    </w:p>
    <w:p w14:paraId="46889E3C" w14:textId="77777777" w:rsidR="00E80FB1" w:rsidRPr="00E80FB1" w:rsidRDefault="00E80FB1" w:rsidP="00E80FB1">
      <w:pPr>
        <w:autoSpaceDE w:val="0"/>
        <w:autoSpaceDN w:val="0"/>
        <w:adjustRightInd w:val="0"/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2B3745" w14:textId="77777777" w:rsidR="00EA73BF" w:rsidRPr="00010D5A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5A">
        <w:rPr>
          <w:rFonts w:ascii="Times New Roman" w:hAnsi="Times New Roman" w:cs="Times New Roman"/>
          <w:b/>
          <w:sz w:val="24"/>
          <w:szCs w:val="24"/>
        </w:rPr>
        <w:t>Remont i modernizacja pomieszczeń przeznaczonych do wykonywania obowiązków służbowych przez pracowników podmiotu uprawnionego</w:t>
      </w:r>
    </w:p>
    <w:p w14:paraId="4EF412E1" w14:textId="77777777" w:rsidR="006763EF" w:rsidRDefault="006763EF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związane z zapewnieniem warunków pracy, w sytuacji gdy dotyczą więcej niż jednego pracownika podmiotu uprawnionego</w:t>
      </w:r>
      <w:r w:rsidR="007D4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 kwalifikowaln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04FD">
        <w:rPr>
          <w:rFonts w:ascii="Times New Roman" w:hAnsi="Times New Roman" w:cs="Times New Roman"/>
          <w:sz w:val="24"/>
          <w:szCs w:val="24"/>
        </w:rPr>
        <w:t xml:space="preserve">, jeżeli </w:t>
      </w:r>
      <w:r w:rsidR="00BA2DE4">
        <w:rPr>
          <w:rFonts w:ascii="Times New Roman" w:hAnsi="Times New Roman" w:cs="Times New Roman"/>
          <w:sz w:val="24"/>
          <w:szCs w:val="24"/>
        </w:rPr>
        <w:t>c</w:t>
      </w:r>
      <w:r w:rsidR="009923C3">
        <w:rPr>
          <w:rFonts w:ascii="Times New Roman" w:hAnsi="Times New Roman" w:cs="Times New Roman"/>
          <w:sz w:val="24"/>
          <w:szCs w:val="24"/>
        </w:rPr>
        <w:t xml:space="preserve">o najmniej jeden </w:t>
      </w:r>
      <w:r w:rsidRPr="008404FD">
        <w:rPr>
          <w:rFonts w:ascii="Times New Roman" w:hAnsi="Times New Roman" w:cs="Times New Roman"/>
          <w:sz w:val="24"/>
          <w:szCs w:val="24"/>
        </w:rPr>
        <w:t>pracownik wykon</w:t>
      </w:r>
      <w:r>
        <w:rPr>
          <w:rFonts w:ascii="Times New Roman" w:hAnsi="Times New Roman" w:cs="Times New Roman"/>
          <w:sz w:val="24"/>
          <w:szCs w:val="24"/>
        </w:rPr>
        <w:t>ywał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zadania kwalifikowalne przez co najmniej 50% swojego czasu pracy w danym miesiącu</w:t>
      </w:r>
      <w:r w:rsidR="00D538FC">
        <w:rPr>
          <w:rFonts w:ascii="Times New Roman" w:hAnsi="Times New Roman" w:cs="Times New Roman"/>
          <w:sz w:val="24"/>
          <w:szCs w:val="24"/>
        </w:rPr>
        <w:t xml:space="preserve">. Kwota kwalifikowana określana jest </w:t>
      </w:r>
      <w:r w:rsidR="00D538FC" w:rsidRPr="00D538FC">
        <w:rPr>
          <w:rFonts w:ascii="Times New Roman" w:hAnsi="Times New Roman" w:cs="Times New Roman"/>
          <w:sz w:val="24"/>
          <w:szCs w:val="24"/>
        </w:rPr>
        <w:t>w części równej udziałowi czasu pracy pracowników, którzy co najmniej 50% czasu pracy w danym miesiącu przeznaczają na realizację zadań kwalifikowalnych</w:t>
      </w:r>
      <w:r w:rsidR="00BC16FA">
        <w:rPr>
          <w:rFonts w:ascii="Times New Roman" w:hAnsi="Times New Roman" w:cs="Times New Roman"/>
          <w:sz w:val="24"/>
          <w:szCs w:val="24"/>
        </w:rPr>
        <w:t>.</w:t>
      </w:r>
    </w:p>
    <w:p w14:paraId="04852027" w14:textId="47A02D4D" w:rsidR="006763EF" w:rsidRDefault="006763EF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E0315E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wejściem w życie rozporządzenia o PT</w:t>
      </w:r>
      <w:r w:rsidR="00E0315E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tj. przed dniem 5 października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CF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Pr="00985CF1">
        <w:rPr>
          <w:rFonts w:ascii="Times New Roman" w:hAnsi="Times New Roman" w:cs="Times New Roman"/>
          <w:sz w:val="24"/>
          <w:szCs w:val="24"/>
        </w:rPr>
        <w:t>określana jest zgodnie z zasadą proporcjonalności.</w:t>
      </w:r>
    </w:p>
    <w:p w14:paraId="022F3D8E" w14:textId="5985C02A" w:rsidR="00313C43" w:rsidRPr="000A1CC7" w:rsidRDefault="004334AF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zwią</w:t>
      </w:r>
      <w:r w:rsidR="003A6A6D">
        <w:rPr>
          <w:rFonts w:ascii="Times New Roman" w:hAnsi="Times New Roman" w:cs="Times New Roman"/>
          <w:sz w:val="24"/>
          <w:szCs w:val="24"/>
        </w:rPr>
        <w:t>zane z remontem lub modernizacją</w:t>
      </w:r>
      <w:r>
        <w:rPr>
          <w:rFonts w:ascii="Times New Roman" w:hAnsi="Times New Roman" w:cs="Times New Roman"/>
          <w:sz w:val="24"/>
          <w:szCs w:val="24"/>
        </w:rPr>
        <w:t xml:space="preserve"> pomieszczeń 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8404FD">
        <w:rPr>
          <w:rFonts w:ascii="Times New Roman" w:hAnsi="Times New Roman" w:cs="Times New Roman"/>
          <w:sz w:val="24"/>
          <w:szCs w:val="24"/>
        </w:rPr>
        <w:t>za kwalifikowaln</w:t>
      </w:r>
      <w:r>
        <w:rPr>
          <w:rFonts w:ascii="Times New Roman" w:hAnsi="Times New Roman" w:cs="Times New Roman"/>
          <w:sz w:val="24"/>
          <w:szCs w:val="24"/>
        </w:rPr>
        <w:t>e, w przypadku gdy</w:t>
      </w:r>
      <w:r w:rsidR="00E0315E">
        <w:rPr>
          <w:rFonts w:ascii="Times New Roman" w:hAnsi="Times New Roman" w:cs="Times New Roman"/>
          <w:sz w:val="24"/>
          <w:szCs w:val="24"/>
        </w:rPr>
        <w:t xml:space="preserve"> te pomieszczenia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A6D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wykorzystywane przez pracowników na realizację zdań kwalifikowanych </w:t>
      </w:r>
      <w:r w:rsidR="003A6A6D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0315E" w:rsidRPr="00085761">
        <w:rPr>
          <w:rFonts w:ascii="Times New Roman" w:hAnsi="Times New Roman" w:cs="Times New Roman"/>
          <w:sz w:val="24"/>
          <w:szCs w:val="24"/>
        </w:rPr>
        <w:t xml:space="preserve">do </w:t>
      </w:r>
      <w:r w:rsidR="003A6A6D" w:rsidRPr="00085761">
        <w:rPr>
          <w:rFonts w:ascii="Times New Roman" w:hAnsi="Times New Roman" w:cs="Times New Roman"/>
          <w:sz w:val="24"/>
          <w:szCs w:val="24"/>
        </w:rPr>
        <w:t>31 grudnia 2023 r</w:t>
      </w:r>
      <w:r w:rsidR="006031CC">
        <w:rPr>
          <w:rFonts w:ascii="Times New Roman" w:hAnsi="Times New Roman" w:cs="Times New Roman"/>
          <w:sz w:val="24"/>
          <w:szCs w:val="24"/>
        </w:rPr>
        <w:t>.</w:t>
      </w:r>
    </w:p>
    <w:p w14:paraId="69592BB4" w14:textId="433FE04F" w:rsidR="00EA73BF" w:rsidRPr="00085761" w:rsidRDefault="00EA73B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 pomieszczeń</w:t>
      </w:r>
      <w:r w:rsidRPr="0008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przeznaczonych</w:t>
      </w:r>
      <w:r w:rsidRPr="0008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 xml:space="preserve">do wykonywania obowiązków służbowych przez pracowników podmiotu uprawnionego należy zaliczyć pokoje, w których pracują pracownicy wykonujący te zadania, oraz archiwum, w którym przechowywane są dokumenty wytworzone przez tych pracowników. Wydatki kwalifikowalne powinny dotyczyć prac, które służą utrzymaniu stanu pomieszczeń biurowych oraz archiwum w standardzie umożliwiającym efektywne wykonywanie zadań oraz odpowiednie przechowywanie dokumentów. Koszty te obejmują przeprowadzenie niezbędnych prac m.in. </w:t>
      </w:r>
      <w:r w:rsidR="00E0315E" w:rsidRPr="00085761">
        <w:rPr>
          <w:rFonts w:ascii="Times New Roman" w:hAnsi="Times New Roman" w:cs="Times New Roman"/>
          <w:sz w:val="24"/>
          <w:szCs w:val="24"/>
        </w:rPr>
        <w:t>b</w:t>
      </w:r>
      <w:r w:rsidR="00E0315E">
        <w:rPr>
          <w:rFonts w:ascii="Times New Roman" w:hAnsi="Times New Roman" w:cs="Times New Roman"/>
          <w:sz w:val="24"/>
          <w:szCs w:val="24"/>
        </w:rPr>
        <w:t>ieżące</w:t>
      </w:r>
      <w:r w:rsidR="00E0315E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naprawy</w:t>
      </w:r>
      <w:r w:rsidR="00B67412">
        <w:rPr>
          <w:rFonts w:ascii="Times New Roman" w:hAnsi="Times New Roman" w:cs="Times New Roman"/>
          <w:sz w:val="24"/>
          <w:szCs w:val="24"/>
        </w:rPr>
        <w:t xml:space="preserve">, malowanie pomieszczeń, </w:t>
      </w:r>
      <w:r w:rsidRPr="00085761">
        <w:rPr>
          <w:rFonts w:ascii="Times New Roman" w:hAnsi="Times New Roman" w:cs="Times New Roman"/>
          <w:sz w:val="24"/>
          <w:szCs w:val="24"/>
        </w:rPr>
        <w:t>wymiana elektryki, urządzeń grzewczych, wykładzin, montowanie rolet lub żaluzji okiennych, klimatyzatorów.</w:t>
      </w:r>
    </w:p>
    <w:p w14:paraId="1E0DDAD2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905EBE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8F5833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374057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AC4311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E7E4C" w14:textId="77777777" w:rsidR="00EA73BF" w:rsidRPr="003A6A6D" w:rsidRDefault="00280A62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Przykład</w:t>
      </w:r>
      <w:r w:rsidR="00EA73BF" w:rsidRPr="003A6A6D">
        <w:rPr>
          <w:rFonts w:ascii="Times New Roman" w:hAnsi="Times New Roman" w:cs="Times New Roman"/>
          <w:i/>
          <w:sz w:val="24"/>
          <w:szCs w:val="24"/>
        </w:rPr>
        <w:tab/>
      </w:r>
    </w:p>
    <w:p w14:paraId="046FF54A" w14:textId="77777777" w:rsidR="00EA73BF" w:rsidRPr="003A6A6D" w:rsidRDefault="00EA73BF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A6D">
        <w:rPr>
          <w:rFonts w:ascii="Times New Roman" w:hAnsi="Times New Roman" w:cs="Times New Roman"/>
          <w:i/>
          <w:sz w:val="24"/>
          <w:szCs w:val="24"/>
        </w:rPr>
        <w:t xml:space="preserve">W pomieszczeniu pracują 3 osoby realizujące zadania związane z PT PROW 2014-2020. </w:t>
      </w:r>
    </w:p>
    <w:tbl>
      <w:tblPr>
        <w:tblStyle w:val="Tabela-Siatka"/>
        <w:tblW w:w="0" w:type="auto"/>
        <w:tblInd w:w="-38" w:type="dxa"/>
        <w:tblLook w:val="04A0" w:firstRow="1" w:lastRow="0" w:firstColumn="1" w:lastColumn="0" w:noHBand="0" w:noVBand="1"/>
      </w:tblPr>
      <w:tblGrid>
        <w:gridCol w:w="3014"/>
        <w:gridCol w:w="2975"/>
        <w:gridCol w:w="2968"/>
      </w:tblGrid>
      <w:tr w:rsidR="00EA73BF" w:rsidRPr="00161F89" w14:paraId="5C4B63EB" w14:textId="77777777" w:rsidTr="00550D71">
        <w:tc>
          <w:tcPr>
            <w:tcW w:w="3014" w:type="dxa"/>
            <w:shd w:val="clear" w:color="auto" w:fill="7F7F7F" w:themeFill="text1" w:themeFillTint="80"/>
          </w:tcPr>
          <w:p w14:paraId="5621DCE4" w14:textId="77777777" w:rsidR="00EA73BF" w:rsidRPr="008744BF" w:rsidRDefault="00550D71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Pomieszczenie</w:t>
            </w:r>
          </w:p>
        </w:tc>
        <w:tc>
          <w:tcPr>
            <w:tcW w:w="2975" w:type="dxa"/>
            <w:shd w:val="clear" w:color="auto" w:fill="7F7F7F" w:themeFill="text1" w:themeFillTint="80"/>
          </w:tcPr>
          <w:p w14:paraId="6C23FBD4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Zadania kwalifikowalne</w:t>
            </w:r>
          </w:p>
        </w:tc>
        <w:tc>
          <w:tcPr>
            <w:tcW w:w="2968" w:type="dxa"/>
            <w:shd w:val="clear" w:color="auto" w:fill="7F7F7F" w:themeFill="text1" w:themeFillTint="80"/>
          </w:tcPr>
          <w:p w14:paraId="3B80EE86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 xml:space="preserve">Współczynnik finansowania z PT PROW </w:t>
            </w:r>
          </w:p>
        </w:tc>
      </w:tr>
      <w:tr w:rsidR="00EA73BF" w:rsidRPr="00161F89" w14:paraId="656C2753" w14:textId="77777777" w:rsidTr="00550D71">
        <w:tc>
          <w:tcPr>
            <w:tcW w:w="3014" w:type="dxa"/>
          </w:tcPr>
          <w:p w14:paraId="53451506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Pracownik A</w:t>
            </w:r>
          </w:p>
        </w:tc>
        <w:tc>
          <w:tcPr>
            <w:tcW w:w="2975" w:type="dxa"/>
          </w:tcPr>
          <w:p w14:paraId="1C445B2D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68" w:type="dxa"/>
          </w:tcPr>
          <w:p w14:paraId="056A9894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3BF" w:rsidRPr="00161F89" w14:paraId="609B1126" w14:textId="77777777" w:rsidTr="00550D71">
        <w:tc>
          <w:tcPr>
            <w:tcW w:w="3014" w:type="dxa"/>
          </w:tcPr>
          <w:p w14:paraId="012D98E3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Pracownik B</w:t>
            </w:r>
          </w:p>
        </w:tc>
        <w:tc>
          <w:tcPr>
            <w:tcW w:w="2975" w:type="dxa"/>
          </w:tcPr>
          <w:p w14:paraId="4D4EE7FF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68" w:type="dxa"/>
          </w:tcPr>
          <w:p w14:paraId="67270FEE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3BF" w:rsidRPr="00161F89" w14:paraId="0F3A6DDE" w14:textId="77777777" w:rsidTr="00550D71">
        <w:tc>
          <w:tcPr>
            <w:tcW w:w="3014" w:type="dxa"/>
          </w:tcPr>
          <w:p w14:paraId="37EDCA07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Pracownik C</w:t>
            </w:r>
          </w:p>
        </w:tc>
        <w:tc>
          <w:tcPr>
            <w:tcW w:w="2975" w:type="dxa"/>
          </w:tcPr>
          <w:p w14:paraId="386C459C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68" w:type="dxa"/>
          </w:tcPr>
          <w:p w14:paraId="2CB74E0F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39DBB40E" w14:textId="5E84BE8F" w:rsidR="00EA73BF" w:rsidRPr="003A6A6D" w:rsidRDefault="00550D71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Wyliczenie kosztów kwalifikowalnych</w:t>
      </w:r>
      <w:r w:rsidR="00E0315E" w:rsidRPr="00E031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15E" w:rsidRPr="003A6A6D">
        <w:rPr>
          <w:rFonts w:ascii="Times New Roman" w:hAnsi="Times New Roman" w:cs="Times New Roman"/>
          <w:i/>
          <w:sz w:val="24"/>
          <w:szCs w:val="24"/>
        </w:rPr>
        <w:t>w pomieszczeniu</w:t>
      </w:r>
      <w:r>
        <w:rPr>
          <w:rFonts w:ascii="Times New Roman" w:hAnsi="Times New Roman" w:cs="Times New Roman"/>
          <w:i/>
          <w:sz w:val="24"/>
          <w:szCs w:val="24"/>
        </w:rPr>
        <w:t xml:space="preserve">, w okresie </w:t>
      </w:r>
      <w:r w:rsidR="00E0315E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wejści</w:t>
      </w:r>
      <w:r w:rsidR="00E0315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w życie rozporządzenia o PT</w:t>
      </w:r>
      <w:r w:rsidR="00E0315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tj. </w:t>
      </w:r>
      <w:r w:rsidR="00E0315E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5 października 2016 r.</w:t>
      </w:r>
      <w:r w:rsidR="00E0315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F95" w:rsidRPr="003A6A6D">
        <w:rPr>
          <w:rFonts w:ascii="Times New Roman" w:hAnsi="Times New Roman" w:cs="Times New Roman"/>
          <w:i/>
          <w:sz w:val="24"/>
          <w:szCs w:val="24"/>
        </w:rPr>
        <w:t>wygląda następująco</w:t>
      </w:r>
      <w:r w:rsidR="00EA73BF" w:rsidRPr="003A6A6D">
        <w:rPr>
          <w:rFonts w:ascii="Times New Roman" w:hAnsi="Times New Roman" w:cs="Times New Roman"/>
          <w:i/>
          <w:sz w:val="24"/>
          <w:szCs w:val="24"/>
        </w:rPr>
        <w:t>:</w:t>
      </w:r>
    </w:p>
    <w:p w14:paraId="3C974432" w14:textId="77777777" w:rsidR="00550D71" w:rsidRPr="00550D71" w:rsidRDefault="00550D71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Współczynnik kwalifikowalności : </w:t>
      </w:r>
      <w:r w:rsidRPr="00550D71">
        <w:rPr>
          <w:rFonts w:ascii="Times New Roman" w:hAnsi="Times New Roman" w:cs="Times New Roman"/>
          <w:i/>
          <w:sz w:val="24"/>
          <w:szCs w:val="24"/>
        </w:rPr>
        <w:t>(</w:t>
      </w:r>
      <w:r w:rsidR="00EA73BF" w:rsidRPr="00550D71">
        <w:rPr>
          <w:rFonts w:ascii="Times New Roman" w:hAnsi="Times New Roman" w:cs="Times New Roman"/>
          <w:i/>
          <w:sz w:val="24"/>
          <w:szCs w:val="24"/>
        </w:rPr>
        <w:t>0,5+0,6</w:t>
      </w:r>
      <w:r w:rsidRPr="00550D71">
        <w:rPr>
          <w:rFonts w:ascii="Times New Roman" w:hAnsi="Times New Roman" w:cs="Times New Roman"/>
          <w:i/>
          <w:sz w:val="24"/>
          <w:szCs w:val="24"/>
        </w:rPr>
        <w:t>)/3</w:t>
      </w:r>
      <w:r w:rsidR="00EA73BF" w:rsidRPr="00550D71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19508D" w:rsidRPr="00550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BCD" w:rsidRPr="00550D71">
        <w:rPr>
          <w:rFonts w:ascii="Times New Roman" w:hAnsi="Times New Roman" w:cs="Times New Roman"/>
          <w:i/>
          <w:sz w:val="24"/>
          <w:szCs w:val="24"/>
        </w:rPr>
        <w:t>0,</w:t>
      </w:r>
      <w:r w:rsidR="00280A62" w:rsidRPr="00550D71">
        <w:rPr>
          <w:rFonts w:ascii="Times New Roman" w:hAnsi="Times New Roman" w:cs="Times New Roman"/>
          <w:i/>
          <w:sz w:val="24"/>
          <w:szCs w:val="24"/>
        </w:rPr>
        <w:t>3666</w:t>
      </w:r>
      <w:r w:rsidR="008A4BCD" w:rsidRPr="00550D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1FF41B" w14:textId="77777777" w:rsidR="00550D71" w:rsidRDefault="00550D71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 poniesiony: 1.000 zł</w:t>
      </w:r>
    </w:p>
    <w:p w14:paraId="6EE45D4A" w14:textId="77777777" w:rsidR="00EA73BF" w:rsidRPr="003A6A6D" w:rsidRDefault="00550D71" w:rsidP="00550D7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Kwota kwalifikowalna: 1.000 zł* 0,3666 = </w:t>
      </w:r>
      <w:r w:rsidR="008A4BCD" w:rsidRPr="003A6A6D">
        <w:rPr>
          <w:rFonts w:ascii="Times New Roman" w:hAnsi="Times New Roman" w:cs="Times New Roman"/>
          <w:i/>
          <w:sz w:val="24"/>
          <w:szCs w:val="24"/>
        </w:rPr>
        <w:t>3</w:t>
      </w:r>
      <w:r w:rsidR="00280A62">
        <w:rPr>
          <w:rFonts w:ascii="Times New Roman" w:hAnsi="Times New Roman" w:cs="Times New Roman"/>
          <w:i/>
          <w:sz w:val="24"/>
          <w:szCs w:val="24"/>
        </w:rPr>
        <w:t>66</w:t>
      </w:r>
      <w:r w:rsidR="008A4BCD" w:rsidRPr="003A6A6D">
        <w:rPr>
          <w:rFonts w:ascii="Times New Roman" w:hAnsi="Times New Roman" w:cs="Times New Roman"/>
          <w:i/>
          <w:sz w:val="24"/>
          <w:szCs w:val="24"/>
        </w:rPr>
        <w:t xml:space="preserve"> zł</w:t>
      </w:r>
      <w:r w:rsidR="00EA73BF" w:rsidRPr="003A6A6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49DBC38A" w14:textId="77777777" w:rsidR="00EA73BF" w:rsidRPr="008744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EE94F17" w14:textId="77777777" w:rsidR="00EA73BF" w:rsidRPr="00DC741B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41B">
        <w:rPr>
          <w:rFonts w:ascii="Times New Roman" w:hAnsi="Times New Roman" w:cs="Times New Roman"/>
          <w:b/>
          <w:sz w:val="24"/>
          <w:szCs w:val="24"/>
        </w:rPr>
        <w:t>Koszty związane z zapewnieniem warunków pracy pracownikowi podmiotu uprawnionego, niezbędnych do wykonywania zadań kwalifikowalnych</w:t>
      </w:r>
    </w:p>
    <w:p w14:paraId="278BE38C" w14:textId="3C987AAA" w:rsidR="00EA73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Do kosztów związanych z zapewnieniem warunków pracy pracownika podmiotu uprawnionego należą w szczególności koszty zakupu sprzętu komputerowego, oprogramowania, mebli, materiałów biurowych, usług telekomunikacyjnych, </w:t>
      </w:r>
      <w:r w:rsidR="00693712">
        <w:rPr>
          <w:rFonts w:ascii="Times New Roman" w:hAnsi="Times New Roman" w:cs="Times New Roman"/>
          <w:sz w:val="24"/>
          <w:szCs w:val="24"/>
        </w:rPr>
        <w:t xml:space="preserve">remontu, modernizacji oraz </w:t>
      </w:r>
      <w:r w:rsidRPr="00161F89">
        <w:rPr>
          <w:rFonts w:ascii="Times New Roman" w:hAnsi="Times New Roman" w:cs="Times New Roman"/>
          <w:sz w:val="24"/>
          <w:szCs w:val="24"/>
        </w:rPr>
        <w:t xml:space="preserve">najmu i utrzymania pomieszczeń </w:t>
      </w:r>
      <w:r w:rsidR="00693712">
        <w:rPr>
          <w:rFonts w:ascii="Times New Roman" w:hAnsi="Times New Roman" w:cs="Times New Roman"/>
          <w:sz w:val="24"/>
          <w:szCs w:val="24"/>
        </w:rPr>
        <w:t>takich jak pokoje biurowe, pokoje socjalne, korytarze, sanitariaty, serwerownie i centrale telekomunikacyjne</w:t>
      </w:r>
      <w:r w:rsidR="004914FB">
        <w:rPr>
          <w:rFonts w:ascii="Times New Roman" w:hAnsi="Times New Roman" w:cs="Times New Roman"/>
          <w:sz w:val="24"/>
          <w:szCs w:val="24"/>
        </w:rPr>
        <w:t xml:space="preserve"> </w:t>
      </w:r>
      <w:r w:rsidR="00693712">
        <w:rPr>
          <w:rFonts w:ascii="Times New Roman" w:hAnsi="Times New Roman" w:cs="Times New Roman"/>
          <w:sz w:val="24"/>
          <w:szCs w:val="24"/>
        </w:rPr>
        <w:t xml:space="preserve">oraz </w:t>
      </w:r>
      <w:r w:rsidR="004914FB">
        <w:rPr>
          <w:rFonts w:ascii="Times New Roman" w:hAnsi="Times New Roman" w:cs="Times New Roman"/>
          <w:sz w:val="24"/>
          <w:szCs w:val="24"/>
        </w:rPr>
        <w:t>sal</w:t>
      </w:r>
      <w:r w:rsidR="00FC6433">
        <w:rPr>
          <w:rFonts w:ascii="Times New Roman" w:hAnsi="Times New Roman" w:cs="Times New Roman"/>
          <w:sz w:val="24"/>
          <w:szCs w:val="24"/>
        </w:rPr>
        <w:t>e</w:t>
      </w:r>
      <w:r w:rsidR="004914FB">
        <w:rPr>
          <w:rFonts w:ascii="Times New Roman" w:hAnsi="Times New Roman" w:cs="Times New Roman"/>
          <w:sz w:val="24"/>
          <w:szCs w:val="24"/>
        </w:rPr>
        <w:t xml:space="preserve"> konferencyjn</w:t>
      </w:r>
      <w:r w:rsidR="00FC6433">
        <w:rPr>
          <w:rFonts w:ascii="Times New Roman" w:hAnsi="Times New Roman" w:cs="Times New Roman"/>
          <w:sz w:val="24"/>
          <w:szCs w:val="24"/>
        </w:rPr>
        <w:t>e</w:t>
      </w:r>
      <w:r w:rsidR="004914FB">
        <w:rPr>
          <w:rFonts w:ascii="Times New Roman" w:hAnsi="Times New Roman" w:cs="Times New Roman"/>
          <w:sz w:val="24"/>
          <w:szCs w:val="24"/>
        </w:rPr>
        <w:t>.</w:t>
      </w:r>
      <w:r w:rsidRPr="00161F89">
        <w:rPr>
          <w:rFonts w:ascii="Times New Roman" w:hAnsi="Times New Roman" w:cs="Times New Roman"/>
          <w:sz w:val="24"/>
          <w:szCs w:val="24"/>
        </w:rPr>
        <w:t xml:space="preserve"> Przedmiotowe koszty są kwalifikowalne w takim procencie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 jakim dany pracownik jest zaangażowany w realizację zadań kwalifikowalnych,</w:t>
      </w:r>
      <w:r w:rsidR="00FC6433">
        <w:rPr>
          <w:rFonts w:ascii="Times New Roman" w:hAnsi="Times New Roman" w:cs="Times New Roman"/>
          <w:sz w:val="24"/>
          <w:szCs w:val="24"/>
        </w:rPr>
        <w:t xml:space="preserve"> a</w:t>
      </w:r>
      <w:r w:rsidRPr="00161F89">
        <w:rPr>
          <w:rFonts w:ascii="Times New Roman" w:hAnsi="Times New Roman" w:cs="Times New Roman"/>
          <w:sz w:val="24"/>
          <w:szCs w:val="24"/>
        </w:rPr>
        <w:t xml:space="preserve"> który nie może być niższy niż 50%.</w:t>
      </w:r>
    </w:p>
    <w:p w14:paraId="3CA5428F" w14:textId="40A6B0E9" w:rsidR="005546FB" w:rsidRDefault="005546FB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FC6433">
        <w:rPr>
          <w:rFonts w:ascii="Times New Roman" w:hAnsi="Times New Roman" w:cs="Times New Roman"/>
          <w:sz w:val="24"/>
          <w:szCs w:val="24"/>
        </w:rPr>
        <w:t xml:space="preserve">gdy </w:t>
      </w:r>
      <w:r>
        <w:rPr>
          <w:rFonts w:ascii="Times New Roman" w:hAnsi="Times New Roman" w:cs="Times New Roman"/>
          <w:sz w:val="24"/>
          <w:szCs w:val="24"/>
        </w:rPr>
        <w:t xml:space="preserve">pracownicy podmiotu uprawnionego wykonują swe zadania zajmując powierzchnię, która jest użytkowana tylko na potrzeby Programu, wtedy </w:t>
      </w:r>
      <w:r w:rsidR="00BA5AD8">
        <w:rPr>
          <w:rFonts w:ascii="Times New Roman" w:hAnsi="Times New Roman" w:cs="Times New Roman"/>
          <w:sz w:val="24"/>
          <w:szCs w:val="24"/>
        </w:rPr>
        <w:t>koszt jej użytkowania jest kwalifikowalny w 100%.</w:t>
      </w:r>
    </w:p>
    <w:p w14:paraId="2AF7337B" w14:textId="68DA060C" w:rsidR="00897A4F" w:rsidRDefault="00897A4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wejściem w życie rozporządzenia o PT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tj. przed dniem 5 października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CF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Pr="00985CF1">
        <w:rPr>
          <w:rFonts w:ascii="Times New Roman" w:hAnsi="Times New Roman" w:cs="Times New Roman"/>
          <w:sz w:val="24"/>
          <w:szCs w:val="24"/>
        </w:rPr>
        <w:t>określana jest zgodnie z zasadą proporcjonalności.</w:t>
      </w:r>
    </w:p>
    <w:p w14:paraId="687EACC1" w14:textId="31808277" w:rsidR="00EA73BF" w:rsidRPr="00161F89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Poziom kwalifikowalności wydatków niezbędnych do sprawnego funkcjonowania instytucji, których nie można jednostkowo przypisać do stanowiska pracy (np. czynsz, opłaty eksploatacyjne, abonamenty, infrastruktura teleinformatyczna)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wynika ze średniego poziomu kwalifikowalności stanowisk pracy</w:t>
      </w:r>
      <w:r w:rsidR="00FC6433">
        <w:rPr>
          <w:rFonts w:ascii="Times New Roman" w:hAnsi="Times New Roman" w:cs="Times New Roman"/>
          <w:sz w:val="24"/>
          <w:szCs w:val="24"/>
        </w:rPr>
        <w:t xml:space="preserve"> w</w:t>
      </w:r>
      <w:r w:rsidRPr="00161F89">
        <w:rPr>
          <w:rFonts w:ascii="Times New Roman" w:hAnsi="Times New Roman" w:cs="Times New Roman"/>
          <w:sz w:val="24"/>
          <w:szCs w:val="24"/>
        </w:rPr>
        <w:t xml:space="preserve"> instytucji, obliczanego jako stosunek liczby etatów kwalifikowalnych do liczby wszystkich etatów w danej jednostce organizacyjnej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 (np. urzędzie, agencji, departamencie) lub w danej lokalizacji (budynku).</w:t>
      </w:r>
    </w:p>
    <w:p w14:paraId="5EB6555B" w14:textId="65EC4E34" w:rsidR="00EA73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Poziom kwalifikowalności wydatków związanych z zakupem sprzętu i wyposażenia, którego nie można bezpośrednio powiązać z pracownikiem (np. drukarki sieciowe, kserokopiarki, tonery do drukarek itp.)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a</w:t>
      </w:r>
      <w:r w:rsidR="00FC6433">
        <w:rPr>
          <w:rFonts w:ascii="Times New Roman" w:hAnsi="Times New Roman" w:cs="Times New Roman"/>
          <w:sz w:val="24"/>
          <w:szCs w:val="24"/>
        </w:rPr>
        <w:t xml:space="preserve"> który</w:t>
      </w:r>
      <w:r w:rsidRPr="00161F89">
        <w:rPr>
          <w:rFonts w:ascii="Times New Roman" w:hAnsi="Times New Roman" w:cs="Times New Roman"/>
          <w:sz w:val="24"/>
          <w:szCs w:val="24"/>
        </w:rPr>
        <w:t xml:space="preserve"> jest nabywany na potrzeby jednostki organizacyjnej, wynika </w:t>
      </w:r>
      <w:r w:rsidRPr="00161F89">
        <w:rPr>
          <w:rFonts w:ascii="Times New Roman" w:hAnsi="Times New Roman" w:cs="Times New Roman"/>
          <w:sz w:val="24"/>
          <w:szCs w:val="24"/>
        </w:rPr>
        <w:lastRenderedPageBreak/>
        <w:t>także ze średniego poziomu kwalifikowalności stanowisk pracy</w:t>
      </w:r>
      <w:r w:rsidR="00FC6433">
        <w:rPr>
          <w:rFonts w:ascii="Times New Roman" w:hAnsi="Times New Roman" w:cs="Times New Roman"/>
          <w:sz w:val="24"/>
          <w:szCs w:val="24"/>
        </w:rPr>
        <w:t xml:space="preserve"> w</w:t>
      </w:r>
      <w:r w:rsidRPr="00161F89">
        <w:rPr>
          <w:rFonts w:ascii="Times New Roman" w:hAnsi="Times New Roman" w:cs="Times New Roman"/>
          <w:sz w:val="24"/>
          <w:szCs w:val="24"/>
        </w:rPr>
        <w:t xml:space="preserve"> instytucji, obliczanego jako stosunek liczby etatów kwalifikowalnych do liczby wszystkich etatów w danej jednostce organizacyjnej (np. urzędzie, agencji, departamencie) lub w danej lokalizacji (budynku).</w:t>
      </w:r>
    </w:p>
    <w:p w14:paraId="75978BDA" w14:textId="35811854" w:rsidR="00E96458" w:rsidRDefault="004914FB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E96458">
        <w:rPr>
          <w:rFonts w:ascii="Times New Roman" w:hAnsi="Times New Roman" w:cs="Times New Roman"/>
          <w:sz w:val="24"/>
          <w:szCs w:val="24"/>
        </w:rPr>
        <w:t>zakupu</w:t>
      </w:r>
      <w:r>
        <w:rPr>
          <w:rFonts w:ascii="Times New Roman" w:hAnsi="Times New Roman" w:cs="Times New Roman"/>
          <w:sz w:val="24"/>
          <w:szCs w:val="24"/>
        </w:rPr>
        <w:t xml:space="preserve"> sprzętu użytkowanego tylko do</w:t>
      </w:r>
      <w:r w:rsidR="00FC6433">
        <w:rPr>
          <w:rFonts w:ascii="Times New Roman" w:hAnsi="Times New Roman" w:cs="Times New Roman"/>
          <w:sz w:val="24"/>
          <w:szCs w:val="24"/>
        </w:rPr>
        <w:t xml:space="preserve"> wykonywania</w:t>
      </w:r>
      <w:r>
        <w:rPr>
          <w:rFonts w:ascii="Times New Roman" w:hAnsi="Times New Roman" w:cs="Times New Roman"/>
          <w:sz w:val="24"/>
          <w:szCs w:val="24"/>
        </w:rPr>
        <w:t xml:space="preserve"> zadań kwalifikowalnych</w:t>
      </w:r>
      <w:r w:rsidR="00B44F6B">
        <w:rPr>
          <w:rFonts w:ascii="Times New Roman" w:hAnsi="Times New Roman" w:cs="Times New Roman"/>
          <w:sz w:val="24"/>
          <w:szCs w:val="24"/>
        </w:rPr>
        <w:t>,</w:t>
      </w:r>
      <w:r w:rsidR="00B44F6B" w:rsidRPr="00B44F6B">
        <w:t xml:space="preserve"> </w:t>
      </w:r>
      <w:r w:rsidR="00B44F6B" w:rsidRPr="00B44F6B">
        <w:rPr>
          <w:rFonts w:ascii="Times New Roman" w:hAnsi="Times New Roman" w:cs="Times New Roman"/>
          <w:sz w:val="24"/>
          <w:szCs w:val="24"/>
        </w:rPr>
        <w:t>koszt zakupu tego spr</w:t>
      </w:r>
      <w:r w:rsidR="006362EE">
        <w:rPr>
          <w:rFonts w:ascii="Times New Roman" w:hAnsi="Times New Roman" w:cs="Times New Roman"/>
          <w:sz w:val="24"/>
          <w:szCs w:val="24"/>
        </w:rPr>
        <w:t>zętu jest kwalifikowalny w 100%</w:t>
      </w:r>
      <w:r w:rsidR="005559D4">
        <w:rPr>
          <w:rFonts w:ascii="Times New Roman" w:hAnsi="Times New Roman" w:cs="Times New Roman"/>
          <w:sz w:val="24"/>
          <w:szCs w:val="24"/>
        </w:rPr>
        <w:t>,</w:t>
      </w:r>
      <w:r w:rsidR="00E96458">
        <w:rPr>
          <w:rFonts w:ascii="Times New Roman" w:hAnsi="Times New Roman" w:cs="Times New Roman"/>
          <w:sz w:val="24"/>
          <w:szCs w:val="24"/>
        </w:rPr>
        <w:t xml:space="preserve"> w przypadkach gdy:</w:t>
      </w:r>
    </w:p>
    <w:p w14:paraId="14929CB4" w14:textId="2874F959" w:rsidR="00E96458" w:rsidRDefault="005559D4" w:rsidP="00E96458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00D4" w:rsidRPr="00E96458">
        <w:rPr>
          <w:rFonts w:ascii="Times New Roman" w:hAnsi="Times New Roman" w:cs="Times New Roman"/>
          <w:sz w:val="24"/>
          <w:szCs w:val="24"/>
        </w:rPr>
        <w:t xml:space="preserve">racownicy </w:t>
      </w:r>
      <w:r w:rsidR="00E96458" w:rsidRPr="00E96458">
        <w:rPr>
          <w:rFonts w:ascii="Times New Roman" w:hAnsi="Times New Roman" w:cs="Times New Roman"/>
          <w:sz w:val="24"/>
          <w:szCs w:val="24"/>
        </w:rPr>
        <w:t xml:space="preserve">wykorzystujący sprzęt </w:t>
      </w:r>
      <w:r w:rsidR="006362EE" w:rsidRPr="00E96458">
        <w:rPr>
          <w:rFonts w:ascii="Times New Roman" w:hAnsi="Times New Roman" w:cs="Times New Roman"/>
          <w:sz w:val="24"/>
          <w:szCs w:val="24"/>
        </w:rPr>
        <w:t xml:space="preserve">są </w:t>
      </w:r>
      <w:r w:rsidR="00E83756" w:rsidRPr="00E96458">
        <w:rPr>
          <w:rFonts w:ascii="Times New Roman" w:hAnsi="Times New Roman" w:cs="Times New Roman"/>
          <w:sz w:val="24"/>
          <w:szCs w:val="24"/>
        </w:rPr>
        <w:t>zaangażowan</w:t>
      </w:r>
      <w:r w:rsidR="006362EE" w:rsidRPr="00E96458">
        <w:rPr>
          <w:rFonts w:ascii="Times New Roman" w:hAnsi="Times New Roman" w:cs="Times New Roman"/>
          <w:sz w:val="24"/>
          <w:szCs w:val="24"/>
        </w:rPr>
        <w:t>i</w:t>
      </w:r>
      <w:r w:rsidR="00E83756" w:rsidRPr="00E96458">
        <w:rPr>
          <w:rFonts w:ascii="Times New Roman" w:hAnsi="Times New Roman" w:cs="Times New Roman"/>
          <w:sz w:val="24"/>
          <w:szCs w:val="24"/>
        </w:rPr>
        <w:t xml:space="preserve"> </w:t>
      </w:r>
      <w:r w:rsidR="006362EE" w:rsidRPr="00E96458">
        <w:rPr>
          <w:rFonts w:ascii="Times New Roman" w:hAnsi="Times New Roman" w:cs="Times New Roman"/>
          <w:sz w:val="24"/>
          <w:szCs w:val="24"/>
        </w:rPr>
        <w:t>w</w:t>
      </w:r>
      <w:r w:rsidR="00FC6433">
        <w:rPr>
          <w:rFonts w:ascii="Times New Roman" w:hAnsi="Times New Roman" w:cs="Times New Roman"/>
          <w:sz w:val="24"/>
          <w:szCs w:val="24"/>
        </w:rPr>
        <w:t xml:space="preserve"> </w:t>
      </w:r>
      <w:r w:rsidR="00E83756" w:rsidRPr="00E96458">
        <w:rPr>
          <w:rFonts w:ascii="Times New Roman" w:hAnsi="Times New Roman" w:cs="Times New Roman"/>
          <w:sz w:val="24"/>
          <w:szCs w:val="24"/>
        </w:rPr>
        <w:t>wykonywanie z</w:t>
      </w:r>
      <w:r w:rsidR="00E96458" w:rsidRPr="00E96458">
        <w:rPr>
          <w:rFonts w:ascii="Times New Roman" w:hAnsi="Times New Roman" w:cs="Times New Roman"/>
          <w:sz w:val="24"/>
          <w:szCs w:val="24"/>
        </w:rPr>
        <w:t>a</w:t>
      </w:r>
      <w:r w:rsidR="00E83756" w:rsidRPr="00E96458">
        <w:rPr>
          <w:rFonts w:ascii="Times New Roman" w:hAnsi="Times New Roman" w:cs="Times New Roman"/>
          <w:sz w:val="24"/>
          <w:szCs w:val="24"/>
        </w:rPr>
        <w:t>dań kwalifikowalnych w 100%</w:t>
      </w:r>
      <w:r w:rsidR="00E96458" w:rsidRPr="00E96458">
        <w:rPr>
          <w:rFonts w:ascii="Times New Roman" w:hAnsi="Times New Roman" w:cs="Times New Roman"/>
          <w:sz w:val="24"/>
          <w:szCs w:val="24"/>
        </w:rPr>
        <w:t xml:space="preserve">, nawet jeśli </w:t>
      </w:r>
      <w:r w:rsidR="006362EE" w:rsidRPr="00E96458">
        <w:rPr>
          <w:rFonts w:ascii="Times New Roman" w:hAnsi="Times New Roman" w:cs="Times New Roman"/>
          <w:sz w:val="24"/>
          <w:szCs w:val="24"/>
        </w:rPr>
        <w:t>nie są zatrudnieni w pełnym wymiarze</w:t>
      </w:r>
      <w:r w:rsidR="00FC6433">
        <w:rPr>
          <w:rFonts w:ascii="Times New Roman" w:hAnsi="Times New Roman" w:cs="Times New Roman"/>
          <w:sz w:val="24"/>
          <w:szCs w:val="24"/>
        </w:rPr>
        <w:t>;</w:t>
      </w:r>
      <w:r w:rsidR="00E96458" w:rsidRPr="00E96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57DD2" w14:textId="2A8E8D32" w:rsidR="004914FB" w:rsidRPr="00E96458" w:rsidRDefault="00E96458" w:rsidP="00E96458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96458">
        <w:rPr>
          <w:rFonts w:ascii="Times New Roman" w:hAnsi="Times New Roman" w:cs="Times New Roman"/>
          <w:sz w:val="24"/>
          <w:szCs w:val="24"/>
        </w:rPr>
        <w:t xml:space="preserve">sprzęt użytkowany jest wyłącznie do zadań kwalifikowalnych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E96458">
        <w:rPr>
          <w:rFonts w:ascii="Times New Roman" w:hAnsi="Times New Roman" w:cs="Times New Roman"/>
          <w:sz w:val="24"/>
          <w:szCs w:val="24"/>
        </w:rPr>
        <w:t xml:space="preserve"> pracownik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96458">
        <w:rPr>
          <w:rFonts w:ascii="Times New Roman" w:hAnsi="Times New Roman" w:cs="Times New Roman"/>
          <w:sz w:val="24"/>
          <w:szCs w:val="24"/>
        </w:rPr>
        <w:t xml:space="preserve"> zaangażowan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E96458">
        <w:rPr>
          <w:rFonts w:ascii="Times New Roman" w:hAnsi="Times New Roman" w:cs="Times New Roman"/>
          <w:sz w:val="24"/>
          <w:szCs w:val="24"/>
        </w:rPr>
        <w:t>w wykonywanie zadań kwalifikowalnych w stopni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96458">
        <w:rPr>
          <w:rFonts w:ascii="Times New Roman" w:hAnsi="Times New Roman" w:cs="Times New Roman"/>
          <w:sz w:val="24"/>
          <w:szCs w:val="24"/>
        </w:rPr>
        <w:t xml:space="preserve"> niższym niż 100%</w:t>
      </w:r>
      <w:r w:rsidR="00AE00D4" w:rsidRPr="00E96458">
        <w:rPr>
          <w:rFonts w:ascii="Times New Roman" w:hAnsi="Times New Roman" w:cs="Times New Roman"/>
          <w:sz w:val="24"/>
          <w:szCs w:val="24"/>
        </w:rPr>
        <w:t>.</w:t>
      </w:r>
    </w:p>
    <w:p w14:paraId="4BE89B22" w14:textId="39CB840B" w:rsidR="00EA73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Kwalifikowalne jest wyposażenie stanowiska pracy </w:t>
      </w:r>
      <w:r w:rsidR="00A32F7D">
        <w:rPr>
          <w:rFonts w:ascii="Times New Roman" w:hAnsi="Times New Roman" w:cs="Times New Roman"/>
          <w:sz w:val="24"/>
          <w:szCs w:val="24"/>
        </w:rPr>
        <w:t>w</w:t>
      </w:r>
      <w:r w:rsidR="00FC6433">
        <w:rPr>
          <w:rFonts w:ascii="Times New Roman" w:hAnsi="Times New Roman" w:cs="Times New Roman"/>
          <w:sz w:val="24"/>
          <w:szCs w:val="24"/>
        </w:rPr>
        <w:t xml:space="preserve"> przedmioty</w:t>
      </w:r>
      <w:r w:rsidR="00A32F7D">
        <w:rPr>
          <w:rFonts w:ascii="Times New Roman" w:hAnsi="Times New Roman" w:cs="Times New Roman"/>
          <w:sz w:val="24"/>
          <w:szCs w:val="24"/>
        </w:rPr>
        <w:t xml:space="preserve"> </w:t>
      </w:r>
      <w:r w:rsidRPr="00161F89">
        <w:rPr>
          <w:rFonts w:ascii="Times New Roman" w:hAnsi="Times New Roman" w:cs="Times New Roman"/>
          <w:sz w:val="24"/>
          <w:szCs w:val="24"/>
        </w:rPr>
        <w:t>niezbędne z punktu widzenia przepisów BHP (biurko, krzesło, zagłówki, podnóżki itp.).</w:t>
      </w:r>
    </w:p>
    <w:p w14:paraId="37E603CB" w14:textId="77777777" w:rsidR="005D1103" w:rsidRPr="00161F89" w:rsidRDefault="005D1103" w:rsidP="00EA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33779" w14:textId="77777777" w:rsidR="00EA73BF" w:rsidRPr="00DC741B" w:rsidRDefault="006B7F95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Pr="00DC741B">
        <w:rPr>
          <w:rFonts w:ascii="Times New Roman" w:hAnsi="Times New Roman" w:cs="Times New Roman"/>
          <w:b/>
          <w:sz w:val="24"/>
          <w:szCs w:val="24"/>
        </w:rPr>
        <w:t>p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>rzejazd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>, dojazd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 xml:space="preserve"> środkami komunikacji miejscowej i noclegów poniesion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="00780E2A" w:rsidRPr="00DC741B">
        <w:rPr>
          <w:rFonts w:ascii="Times New Roman" w:hAnsi="Times New Roman" w:cs="Times New Roman"/>
          <w:b/>
          <w:sz w:val="24"/>
          <w:szCs w:val="24"/>
        </w:rPr>
        <w:t>: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D3E4A9" w14:textId="2FE09493" w:rsidR="00EA73BF" w:rsidRPr="00161F89" w:rsidRDefault="00EA73BF" w:rsidP="001A2C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FC6433">
        <w:rPr>
          <w:rFonts w:ascii="Times New Roman" w:hAnsi="Times New Roman" w:cs="Times New Roman"/>
          <w:sz w:val="24"/>
          <w:szCs w:val="24"/>
        </w:rPr>
        <w:t>KM</w:t>
      </w:r>
      <w:r w:rsidRPr="00161F89">
        <w:rPr>
          <w:rFonts w:ascii="Times New Roman" w:hAnsi="Times New Roman" w:cs="Times New Roman"/>
          <w:sz w:val="24"/>
          <w:szCs w:val="24"/>
        </w:rPr>
        <w:t>, o którym mowa w art. 47 rozporządzenia nr 1303/2013, organów opiniodawczo-doradczych oraz organów pomocniczych powołanych w celu wykonywania zadań</w:t>
      </w:r>
      <w:r w:rsidR="00FC6433">
        <w:rPr>
          <w:rFonts w:ascii="Times New Roman" w:hAnsi="Times New Roman" w:cs="Times New Roman"/>
          <w:sz w:val="24"/>
          <w:szCs w:val="24"/>
        </w:rPr>
        <w:t xml:space="preserve"> kwalifikowalnych</w:t>
      </w:r>
      <w:r w:rsidR="006B7F95">
        <w:rPr>
          <w:rFonts w:ascii="Times New Roman" w:hAnsi="Times New Roman" w:cs="Times New Roman"/>
          <w:sz w:val="24"/>
          <w:szCs w:val="24"/>
        </w:rPr>
        <w:t>;</w:t>
      </w:r>
    </w:p>
    <w:p w14:paraId="3AF82114" w14:textId="55B0A58A" w:rsidR="006B7F95" w:rsidRDefault="00EA73BF" w:rsidP="001A2C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90CED">
        <w:rPr>
          <w:rFonts w:ascii="Times New Roman" w:hAnsi="Times New Roman" w:cs="Times New Roman"/>
          <w:sz w:val="24"/>
          <w:szCs w:val="24"/>
        </w:rPr>
        <w:t xml:space="preserve">inne osoby uczestniczące w pracach </w:t>
      </w:r>
      <w:r w:rsidR="00DE6F9A">
        <w:rPr>
          <w:rFonts w:ascii="Times New Roman" w:hAnsi="Times New Roman" w:cs="Times New Roman"/>
          <w:sz w:val="24"/>
          <w:szCs w:val="24"/>
        </w:rPr>
        <w:t>KM</w:t>
      </w:r>
      <w:r w:rsidR="00DE6F9A" w:rsidRPr="00390CED">
        <w:rPr>
          <w:rFonts w:ascii="Times New Roman" w:hAnsi="Times New Roman" w:cs="Times New Roman"/>
          <w:sz w:val="24"/>
          <w:szCs w:val="24"/>
        </w:rPr>
        <w:t xml:space="preserve"> </w:t>
      </w:r>
      <w:r w:rsidRPr="00390CED">
        <w:rPr>
          <w:rFonts w:ascii="Times New Roman" w:hAnsi="Times New Roman" w:cs="Times New Roman"/>
          <w:sz w:val="24"/>
          <w:szCs w:val="24"/>
        </w:rPr>
        <w:t>i organów wymienionych w lit. a</w:t>
      </w:r>
      <w:r w:rsidR="006B7F95">
        <w:rPr>
          <w:rFonts w:ascii="Times New Roman" w:hAnsi="Times New Roman" w:cs="Times New Roman"/>
          <w:sz w:val="24"/>
          <w:szCs w:val="24"/>
        </w:rPr>
        <w:t>;</w:t>
      </w:r>
    </w:p>
    <w:p w14:paraId="5C19D581" w14:textId="2B0426B3" w:rsidR="00EA73BF" w:rsidRPr="001A2CA6" w:rsidRDefault="006B7F95" w:rsidP="001A2C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B7F95">
        <w:rPr>
          <w:rFonts w:ascii="Times New Roman" w:hAnsi="Times New Roman" w:cs="Times New Roman"/>
          <w:sz w:val="24"/>
          <w:szCs w:val="24"/>
        </w:rPr>
        <w:t>pracowników instytutów badawczych w związku z ich udziałem, celem wsparcia merytorycznego podmiotu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CA6">
        <w:rPr>
          <w:rFonts w:ascii="Times New Roman" w:hAnsi="Times New Roman" w:cs="Times New Roman"/>
          <w:sz w:val="24"/>
          <w:szCs w:val="24"/>
        </w:rPr>
        <w:t>uprawnionego, w spotkaniach dotyczących wyznaczania obszarów</w:t>
      </w:r>
      <w:r w:rsidR="00DE6F9A" w:rsidRPr="00DE6F9A">
        <w:t xml:space="preserve"> </w:t>
      </w:r>
      <w:r w:rsidR="00DE6F9A" w:rsidRPr="00DE6F9A">
        <w:rPr>
          <w:rFonts w:ascii="Times New Roman" w:hAnsi="Times New Roman" w:cs="Times New Roman"/>
          <w:sz w:val="24"/>
          <w:szCs w:val="24"/>
        </w:rPr>
        <w:t>z ograniczeniami naturalnymi i innymi szczególnymi ograniczeniami</w:t>
      </w:r>
      <w:r w:rsidR="00390CED" w:rsidRPr="001A2CA6">
        <w:rPr>
          <w:rFonts w:ascii="Times New Roman" w:hAnsi="Times New Roman" w:cs="Times New Roman"/>
          <w:sz w:val="24"/>
          <w:szCs w:val="24"/>
        </w:rPr>
        <w:t>.</w:t>
      </w:r>
    </w:p>
    <w:p w14:paraId="66209C83" w14:textId="77777777" w:rsidR="00390CED" w:rsidRPr="00390CED" w:rsidRDefault="00390CED" w:rsidP="00390C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20081" w14:textId="412ADC1F" w:rsidR="00156F92" w:rsidRPr="00161F89" w:rsidRDefault="00EA73BF" w:rsidP="00156F92">
      <w:pPr>
        <w:pStyle w:val="LITlitera"/>
        <w:spacing w:before="60" w:after="60" w:line="276" w:lineRule="auto"/>
        <w:ind w:left="0" w:firstLine="0"/>
        <w:rPr>
          <w:rFonts w:ascii="Times New Roman" w:hAnsi="Times New Roman" w:cs="Times New Roman"/>
        </w:rPr>
      </w:pPr>
      <w:r w:rsidRPr="00161F89">
        <w:rPr>
          <w:rFonts w:ascii="Times New Roman" w:hAnsi="Times New Roman" w:cs="Times New Roman"/>
        </w:rPr>
        <w:t xml:space="preserve">Do kosztów kwalifikowalnych zalicza się m.in. koszty przejazdów, dojazdów środkami komunikacji miejscowej i noclegów, poniesione przez członków oraz inne osoby  uczestniczące w pracach </w:t>
      </w:r>
      <w:r w:rsidR="00DE6F9A">
        <w:rPr>
          <w:rFonts w:ascii="Times New Roman" w:hAnsi="Times New Roman" w:cs="Times New Roman"/>
        </w:rPr>
        <w:t>KM</w:t>
      </w:r>
      <w:r w:rsidRPr="00161F89">
        <w:rPr>
          <w:rFonts w:ascii="Times New Roman" w:hAnsi="Times New Roman" w:cs="Times New Roman"/>
        </w:rPr>
        <w:t xml:space="preserve">, organów opiniodawczo-doradczych oraz organów pomocniczych powołanych w celu wykonywania zadań kwalifikowalnych na podstawie przepisów ustawy. </w:t>
      </w:r>
    </w:p>
    <w:p w14:paraId="5A6A3CCA" w14:textId="77777777" w:rsidR="00EA73BF" w:rsidRPr="00427EA9" w:rsidRDefault="00BB1FF5" w:rsidP="00156F92">
      <w:pPr>
        <w:pStyle w:val="Nagwek1"/>
        <w:spacing w:before="60" w:after="60" w:line="276" w:lineRule="auto"/>
        <w:rPr>
          <w:rFonts w:ascii="Times New Roman" w:hAnsi="Times New Roman"/>
          <w:color w:val="auto"/>
        </w:rPr>
      </w:pPr>
      <w:bookmarkStart w:id="5" w:name="_Toc10788489"/>
      <w:r w:rsidRPr="00427EA9">
        <w:rPr>
          <w:rFonts w:ascii="Times New Roman" w:hAnsi="Times New Roman"/>
          <w:color w:val="auto"/>
        </w:rPr>
        <w:t xml:space="preserve">V </w:t>
      </w:r>
      <w:r w:rsidR="00EA73BF" w:rsidRPr="00427EA9">
        <w:rPr>
          <w:rFonts w:ascii="Times New Roman" w:hAnsi="Times New Roman"/>
          <w:color w:val="auto"/>
        </w:rPr>
        <w:t>Koszty podlegające refundacji w ramach schematu II</w:t>
      </w:r>
      <w:bookmarkEnd w:id="5"/>
      <w:r w:rsidR="00EA73BF" w:rsidRPr="00427EA9">
        <w:rPr>
          <w:rFonts w:ascii="Times New Roman" w:hAnsi="Times New Roman"/>
          <w:color w:val="auto"/>
        </w:rPr>
        <w:t xml:space="preserve"> </w:t>
      </w:r>
    </w:p>
    <w:p w14:paraId="38AAE8D3" w14:textId="77777777" w:rsidR="001152D4" w:rsidRPr="000C14A0" w:rsidRDefault="002B216E" w:rsidP="001A2C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A0">
        <w:rPr>
          <w:rFonts w:ascii="Times New Roman" w:hAnsi="Times New Roman" w:cs="Times New Roman"/>
          <w:b/>
          <w:sz w:val="24"/>
          <w:szCs w:val="24"/>
        </w:rPr>
        <w:t xml:space="preserve">Koszty kwalifikowalne w </w:t>
      </w:r>
      <w:r w:rsidR="001152D4" w:rsidRPr="000C14A0">
        <w:rPr>
          <w:rFonts w:ascii="Times New Roman" w:hAnsi="Times New Roman" w:cs="Times New Roman"/>
          <w:b/>
          <w:sz w:val="24"/>
          <w:szCs w:val="24"/>
        </w:rPr>
        <w:t>ramach dwuletnich planów operacyjnych</w:t>
      </w:r>
      <w:r w:rsidR="00BC30DE">
        <w:rPr>
          <w:rFonts w:ascii="Times New Roman" w:hAnsi="Times New Roman" w:cs="Times New Roman"/>
          <w:b/>
          <w:sz w:val="24"/>
          <w:szCs w:val="24"/>
        </w:rPr>
        <w:t>, w tym Planu Komunikacyjnego:</w:t>
      </w:r>
    </w:p>
    <w:p w14:paraId="0FB2BF85" w14:textId="77777777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>koszty dostaw i usług</w:t>
      </w:r>
      <w:r w:rsidR="00414D08" w:rsidRPr="004840D0">
        <w:rPr>
          <w:rFonts w:ascii="Times New Roman" w:hAnsi="Times New Roman" w:cs="Times New Roman"/>
          <w:sz w:val="24"/>
          <w:szCs w:val="24"/>
        </w:rPr>
        <w:t>, w tym wynagrodzenia bezosobowe</w:t>
      </w:r>
      <w:r w:rsidRPr="004840D0">
        <w:rPr>
          <w:rFonts w:ascii="Times New Roman" w:hAnsi="Times New Roman" w:cs="Times New Roman"/>
          <w:sz w:val="24"/>
          <w:szCs w:val="24"/>
        </w:rPr>
        <w:t>;</w:t>
      </w:r>
    </w:p>
    <w:p w14:paraId="576A1520" w14:textId="244B688E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>koszty podróży służbowych pracowników podmiotu uprawnionego oraz przejazdów, dojazdów środkami komunikacji miejscowej i noclegów poniesionych przez inne osoby w związku z realizacją operacji;</w:t>
      </w:r>
    </w:p>
    <w:p w14:paraId="1BB9553A" w14:textId="77777777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>koszty nagród finansowych dla laureatów konkursów;</w:t>
      </w:r>
    </w:p>
    <w:p w14:paraId="30075B6D" w14:textId="220C23BD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 xml:space="preserve">kwota środków przekazanych przez podmiot uprawniony partnerowi </w:t>
      </w:r>
      <w:r w:rsidR="00DE6F9A">
        <w:rPr>
          <w:rFonts w:ascii="Times New Roman" w:hAnsi="Times New Roman" w:cs="Times New Roman"/>
          <w:sz w:val="24"/>
          <w:szCs w:val="24"/>
        </w:rPr>
        <w:t>KSOW</w:t>
      </w:r>
      <w:r w:rsidRPr="004840D0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4840D0">
        <w:rPr>
          <w:rFonts w:ascii="Times New Roman" w:hAnsi="Times New Roman" w:cs="Times New Roman"/>
          <w:sz w:val="24"/>
          <w:szCs w:val="24"/>
        </w:rPr>
        <w:t>z tytułu realizacji operacji.</w:t>
      </w:r>
    </w:p>
    <w:p w14:paraId="254B37C5" w14:textId="77777777" w:rsidR="001152D4" w:rsidRDefault="001152D4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C307DD">
        <w:rPr>
          <w:rFonts w:ascii="Times New Roman" w:hAnsi="Times New Roman" w:cs="Times New Roman"/>
          <w:sz w:val="24"/>
          <w:szCs w:val="24"/>
        </w:rPr>
        <w:t xml:space="preserve">Koszty te muszą być uzasadnione zakresem operacji i niezbędne do osiągnięcia jej celu oraz racjonalne. </w:t>
      </w:r>
    </w:p>
    <w:p w14:paraId="51A74BDE" w14:textId="1E0AA85D" w:rsidR="000A604F" w:rsidRDefault="000A604F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Koszty te są kwalifikowalne pod warunkiem, że zostały ujęte w dwuletni</w:t>
      </w:r>
      <w:r w:rsidR="00DE6F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DE6F9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operacyjn</w:t>
      </w:r>
      <w:r w:rsidR="00DE6F9A">
        <w:rPr>
          <w:rFonts w:ascii="Times New Roman" w:hAnsi="Times New Roman" w:cs="Times New Roman"/>
          <w:sz w:val="24"/>
          <w:szCs w:val="24"/>
        </w:rPr>
        <w:t>ym, który został zaakceptowany przez Grupę Roboczą ds. KSOW.</w:t>
      </w:r>
    </w:p>
    <w:p w14:paraId="1A16728C" w14:textId="77777777" w:rsidR="001152D4" w:rsidRPr="00DC741B" w:rsidRDefault="001152D4" w:rsidP="00156F92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6A3511BD" w14:textId="43F72F14" w:rsidR="001152D4" w:rsidRPr="00DC741B" w:rsidRDefault="007C1CAA" w:rsidP="00325B41">
      <w:pPr>
        <w:pStyle w:val="USTustnpkodeksu"/>
        <w:numPr>
          <w:ilvl w:val="1"/>
          <w:numId w:val="66"/>
        </w:numPr>
        <w:spacing w:before="60" w:after="6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Koszty dostaw i usług obejmują</w:t>
      </w:r>
      <w:r w:rsidR="00156F92" w:rsidRPr="00DC741B">
        <w:rPr>
          <w:rFonts w:ascii="Times New Roman" w:hAnsi="Times New Roman" w:cs="Times New Roman"/>
          <w:b/>
          <w:szCs w:val="24"/>
        </w:rPr>
        <w:t xml:space="preserve"> w szczególności</w:t>
      </w:r>
      <w:r w:rsidR="001152D4" w:rsidRPr="00DC741B">
        <w:rPr>
          <w:rFonts w:ascii="Times New Roman" w:hAnsi="Times New Roman" w:cs="Times New Roman"/>
          <w:b/>
          <w:szCs w:val="24"/>
        </w:rPr>
        <w:t>:</w:t>
      </w:r>
    </w:p>
    <w:p w14:paraId="10F6784C" w14:textId="69D3E863" w:rsidR="001152D4" w:rsidRPr="00325B41" w:rsidRDefault="001152D4" w:rsidP="00BF328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56F92">
        <w:rPr>
          <w:rFonts w:ascii="Times New Roman" w:hAnsi="Times New Roman" w:cs="Times New Roman"/>
          <w:sz w:val="24"/>
          <w:szCs w:val="24"/>
        </w:rPr>
        <w:t>zakup artykułów biur</w:t>
      </w:r>
      <w:r w:rsidRPr="008E0135">
        <w:rPr>
          <w:rFonts w:ascii="Times New Roman" w:hAnsi="Times New Roman" w:cs="Times New Roman"/>
          <w:sz w:val="24"/>
          <w:szCs w:val="24"/>
        </w:rPr>
        <w:t>owych</w:t>
      </w:r>
      <w:r w:rsidR="00325B41" w:rsidRPr="008E0135">
        <w:rPr>
          <w:rFonts w:ascii="Times New Roman" w:hAnsi="Times New Roman" w:cs="Times New Roman"/>
          <w:sz w:val="24"/>
          <w:szCs w:val="24"/>
        </w:rPr>
        <w:t>. W sytuacji organizowania szkoleń, konferencji, spotkań, komitetów itp.</w:t>
      </w:r>
      <w:r w:rsidR="00DE6F9A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na które zakupiono artykuły biurowe,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gdy faktyczna liczba uczestników, która wzięła udział w wydarzeniu</w:t>
      </w:r>
      <w:r w:rsidR="00DE6F9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jest mniejsza o nie więcej niż 15% liczby uczestników deklarujących swój udział (przy dochowaniu należytej staranności przez organizatora wydarzenia na etapie jego planowania i rekrutacji uczestników), wówczas za koszt kwalifikowalny uznaj</w:t>
      </w:r>
      <w:r w:rsidR="008E0135" w:rsidRPr="008E0135">
        <w:rPr>
          <w:rFonts w:ascii="Times New Roman" w:hAnsi="Times New Roman" w:cs="Times New Roman"/>
          <w:sz w:val="24"/>
          <w:szCs w:val="24"/>
        </w:rPr>
        <w:t>e się koszt artykułów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biurowych w całości wynikając</w:t>
      </w:r>
      <w:r w:rsidR="00B039A5">
        <w:rPr>
          <w:rFonts w:ascii="Times New Roman" w:hAnsi="Times New Roman" w:cs="Times New Roman"/>
          <w:sz w:val="24"/>
          <w:szCs w:val="24"/>
        </w:rPr>
        <w:t>y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: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325B41" w:rsidRPr="008E0135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9278EA">
        <w:rPr>
          <w:rFonts w:ascii="Times New Roman" w:hAnsi="Times New Roman" w:cs="Times New Roman"/>
          <w:sz w:val="24"/>
          <w:szCs w:val="24"/>
        </w:rPr>
        <w:t xml:space="preserve"> a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f</w:t>
      </w:r>
      <w:r w:rsidR="003B745B">
        <w:rPr>
          <w:rFonts w:ascii="Times New Roman" w:hAnsi="Times New Roman" w:cs="Times New Roman"/>
          <w:sz w:val="24"/>
          <w:szCs w:val="24"/>
        </w:rPr>
        <w:t>aktycznie udział wzięło 87 osób</w:t>
      </w:r>
      <w:r w:rsidR="00325B41" w:rsidRPr="008E0135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jest mniejsza o nie więcej niż 15% (wynosi 13%) liczby uczestników deklarujących swój udział. Zatem koszt zakupu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artykułów biurowych </w:t>
      </w:r>
      <w:r w:rsidR="00325B41" w:rsidRPr="008E0135">
        <w:rPr>
          <w:rFonts w:ascii="Times New Roman" w:hAnsi="Times New Roman" w:cs="Times New Roman"/>
          <w:sz w:val="24"/>
          <w:szCs w:val="24"/>
        </w:rPr>
        <w:t>dla 100 osób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jest kwalif</w:t>
      </w:r>
      <w:r w:rsidR="008E0135" w:rsidRPr="008E0135">
        <w:rPr>
          <w:rFonts w:ascii="Times New Roman" w:hAnsi="Times New Roman" w:cs="Times New Roman"/>
          <w:sz w:val="24"/>
          <w:szCs w:val="24"/>
        </w:rPr>
        <w:t>ikowalny w 100%. Przykład 2: W wydarzeniu udział zadeklarowało 100 osób,</w:t>
      </w:r>
      <w:r w:rsidR="009278EA">
        <w:rPr>
          <w:rFonts w:ascii="Times New Roman" w:hAnsi="Times New Roman" w:cs="Times New Roman"/>
          <w:sz w:val="24"/>
          <w:szCs w:val="24"/>
        </w:rPr>
        <w:t xml:space="preserve"> a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936339">
        <w:rPr>
          <w:rFonts w:ascii="Times New Roman" w:hAnsi="Times New Roman" w:cs="Times New Roman"/>
          <w:sz w:val="24"/>
          <w:szCs w:val="24"/>
        </w:rPr>
        <w:t>y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83 os</w:t>
      </w:r>
      <w:r w:rsidR="00936339">
        <w:rPr>
          <w:rFonts w:ascii="Times New Roman" w:hAnsi="Times New Roman" w:cs="Times New Roman"/>
          <w:sz w:val="24"/>
          <w:szCs w:val="24"/>
        </w:rPr>
        <w:t>oby</w:t>
      </w:r>
      <w:r w:rsidR="008E0135" w:rsidRPr="008E0135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936339">
        <w:rPr>
          <w:rFonts w:ascii="Times New Roman" w:hAnsi="Times New Roman" w:cs="Times New Roman"/>
          <w:sz w:val="24"/>
          <w:szCs w:val="24"/>
        </w:rPr>
        <w:t>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15% (wynosi 17%) liczby uczestników deklarujących swój udział. Zatem koszt zakupu artykułów biurowych dla 100 osób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5A71C005" w14:textId="77777777" w:rsidR="001152D4" w:rsidRPr="00845F50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45F50">
        <w:rPr>
          <w:rFonts w:ascii="Times New Roman" w:hAnsi="Times New Roman" w:cs="Times New Roman"/>
          <w:sz w:val="24"/>
          <w:szCs w:val="24"/>
        </w:rPr>
        <w:t>koszty usług pocztowych oraz kurierskich;</w:t>
      </w:r>
    </w:p>
    <w:p w14:paraId="58E0536F" w14:textId="77777777" w:rsidR="001152D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koszty prowizji</w:t>
      </w:r>
      <w:r>
        <w:rPr>
          <w:rFonts w:ascii="Times New Roman" w:hAnsi="Times New Roman" w:cs="Times New Roman"/>
          <w:sz w:val="24"/>
          <w:szCs w:val="24"/>
        </w:rPr>
        <w:t>/opłat bankowych;</w:t>
      </w:r>
    </w:p>
    <w:p w14:paraId="30EDBE70" w14:textId="77777777" w:rsidR="001152D4" w:rsidRPr="003B10EB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opłat manipulacyjnych</w:t>
      </w:r>
      <w:r w:rsidRPr="00036065">
        <w:rPr>
          <w:rFonts w:ascii="Times New Roman" w:hAnsi="Times New Roman" w:cs="Times New Roman"/>
          <w:sz w:val="24"/>
          <w:szCs w:val="24"/>
        </w:rPr>
        <w:t xml:space="preserve"> (np. dopłata za bilet kolejowy u konduktora, opłata za zmianę rezerwacji biletu lotniczego itp.) mogą być uznane za kwalifikowalne jedynie w uzasadnionych okolicznościach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AFA4DB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</w:t>
      </w:r>
      <w:r w:rsidR="00B46CD4">
        <w:rPr>
          <w:rFonts w:ascii="Times New Roman" w:hAnsi="Times New Roman" w:cs="Times New Roman"/>
          <w:sz w:val="24"/>
          <w:szCs w:val="24"/>
        </w:rPr>
        <w:t>y</w:t>
      </w:r>
      <w:r w:rsidRPr="00DB491D">
        <w:rPr>
          <w:rFonts w:ascii="Times New Roman" w:hAnsi="Times New Roman" w:cs="Times New Roman"/>
          <w:sz w:val="24"/>
          <w:szCs w:val="24"/>
        </w:rPr>
        <w:t xml:space="preserve"> rozmów telefonicz</w:t>
      </w:r>
      <w:r>
        <w:rPr>
          <w:rFonts w:ascii="Times New Roman" w:hAnsi="Times New Roman" w:cs="Times New Roman"/>
          <w:sz w:val="24"/>
          <w:szCs w:val="24"/>
        </w:rPr>
        <w:t>nych;</w:t>
      </w:r>
    </w:p>
    <w:p w14:paraId="0C543B0E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koszty zwi</w:t>
      </w:r>
      <w:r>
        <w:rPr>
          <w:rFonts w:ascii="Times New Roman" w:hAnsi="Times New Roman" w:cs="Times New Roman"/>
          <w:sz w:val="24"/>
          <w:szCs w:val="24"/>
        </w:rPr>
        <w:t>ązane z użytkowaniem Internetu na potrzeby operacji;</w:t>
      </w:r>
    </w:p>
    <w:p w14:paraId="166A453B" w14:textId="0D7D9B0D" w:rsidR="001152D4" w:rsidRPr="00AD6EF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</w:t>
      </w:r>
      <w:r w:rsidR="00B46CD4">
        <w:rPr>
          <w:rFonts w:ascii="Times New Roman" w:hAnsi="Times New Roman" w:cs="Times New Roman"/>
          <w:sz w:val="24"/>
          <w:szCs w:val="24"/>
        </w:rPr>
        <w:t>y</w:t>
      </w:r>
      <w:r w:rsidRPr="00DB491D">
        <w:rPr>
          <w:rFonts w:ascii="Times New Roman" w:hAnsi="Times New Roman" w:cs="Times New Roman"/>
          <w:sz w:val="24"/>
          <w:szCs w:val="24"/>
        </w:rPr>
        <w:t xml:space="preserve"> opracowania</w:t>
      </w:r>
      <w:r>
        <w:rPr>
          <w:rFonts w:ascii="Times New Roman" w:hAnsi="Times New Roman" w:cs="Times New Roman"/>
          <w:sz w:val="24"/>
          <w:szCs w:val="24"/>
        </w:rPr>
        <w:t xml:space="preserve"> ekspertyz</w:t>
      </w:r>
      <w:r w:rsidR="0093633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analiz;</w:t>
      </w:r>
    </w:p>
    <w:p w14:paraId="05EEA44E" w14:textId="77777777" w:rsidR="001152D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</w:t>
      </w:r>
      <w:r w:rsidR="00B46CD4">
        <w:rPr>
          <w:rFonts w:ascii="Times New Roman" w:hAnsi="Times New Roman" w:cs="Times New Roman"/>
          <w:sz w:val="24"/>
          <w:szCs w:val="24"/>
        </w:rPr>
        <w:t>y</w:t>
      </w:r>
      <w:r w:rsidRPr="00DB491D">
        <w:rPr>
          <w:rFonts w:ascii="Times New Roman" w:hAnsi="Times New Roman" w:cs="Times New Roman"/>
          <w:sz w:val="24"/>
          <w:szCs w:val="24"/>
        </w:rPr>
        <w:t xml:space="preserve"> tłumaczenia oraz weryfikacja tłumaczeń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1FCD5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usług kserograficznych;</w:t>
      </w:r>
    </w:p>
    <w:p w14:paraId="45ED4F92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 xml:space="preserve">wynajęcie </w:t>
      </w:r>
      <w:proofErr w:type="spellStart"/>
      <w:r w:rsidRPr="00DB491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DB491D">
        <w:rPr>
          <w:rFonts w:ascii="Times New Roman" w:hAnsi="Times New Roman" w:cs="Times New Roman"/>
          <w:sz w:val="24"/>
          <w:szCs w:val="24"/>
        </w:rPr>
        <w:t>, sprzętu multimedialnego i nagłośnienia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1265DC" w14:textId="16C7784B" w:rsidR="001152D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90CED">
        <w:rPr>
          <w:rFonts w:ascii="Times New Roman" w:hAnsi="Times New Roman" w:cs="Times New Roman"/>
          <w:sz w:val="24"/>
          <w:szCs w:val="24"/>
        </w:rPr>
        <w:t>zakup zbiorów i baz danych na potrzeby sporządzania badań, ewaluacji, ekspertyz</w:t>
      </w:r>
      <w:r w:rsidR="00936339">
        <w:rPr>
          <w:rFonts w:ascii="Times New Roman" w:hAnsi="Times New Roman" w:cs="Times New Roman"/>
          <w:sz w:val="24"/>
          <w:szCs w:val="24"/>
        </w:rPr>
        <w:t xml:space="preserve"> i</w:t>
      </w:r>
      <w:r w:rsidRPr="00390CED">
        <w:rPr>
          <w:rFonts w:ascii="Times New Roman" w:hAnsi="Times New Roman" w:cs="Times New Roman"/>
          <w:sz w:val="24"/>
          <w:szCs w:val="24"/>
        </w:rPr>
        <w:t xml:space="preserve"> opinii np. płatne zestawienia danych przygo</w:t>
      </w:r>
      <w:r w:rsidRPr="00C33A38">
        <w:rPr>
          <w:rFonts w:ascii="Times New Roman" w:hAnsi="Times New Roman" w:cs="Times New Roman"/>
          <w:sz w:val="24"/>
          <w:szCs w:val="24"/>
        </w:rPr>
        <w:t xml:space="preserve">towywane przez GUS, </w:t>
      </w:r>
      <w:proofErr w:type="spellStart"/>
      <w:r w:rsidRPr="00C33A38">
        <w:rPr>
          <w:rFonts w:ascii="Times New Roman" w:hAnsi="Times New Roman" w:cs="Times New Roman"/>
          <w:sz w:val="24"/>
          <w:szCs w:val="24"/>
        </w:rPr>
        <w:t>IMiGW</w:t>
      </w:r>
      <w:proofErr w:type="spellEnd"/>
      <w:r w:rsidRPr="00C33A38">
        <w:rPr>
          <w:rFonts w:ascii="Times New Roman" w:hAnsi="Times New Roman" w:cs="Times New Roman"/>
          <w:sz w:val="24"/>
          <w:szCs w:val="24"/>
        </w:rPr>
        <w:t>, IUNG</w:t>
      </w:r>
      <w:r w:rsidRPr="00AD6EF4">
        <w:rPr>
          <w:rFonts w:ascii="Times New Roman" w:hAnsi="Times New Roman" w:cs="Times New Roman"/>
          <w:sz w:val="24"/>
          <w:szCs w:val="24"/>
        </w:rPr>
        <w:t>;</w:t>
      </w:r>
    </w:p>
    <w:p w14:paraId="5E20B610" w14:textId="77777777" w:rsidR="00936339" w:rsidRDefault="001152D4" w:rsidP="009363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D6EF4">
        <w:rPr>
          <w:rFonts w:ascii="Times New Roman" w:hAnsi="Times New Roman" w:cs="Times New Roman"/>
          <w:sz w:val="24"/>
          <w:szCs w:val="24"/>
        </w:rPr>
        <w:t>zakup publikacji książkowych o tematyce specjalistycznej związanej z realizacją zadań kwalifikowalnych oraz prasy o takiej tematyce</w:t>
      </w:r>
      <w:r w:rsidRPr="00156F92">
        <w:rPr>
          <w:rFonts w:ascii="Times New Roman" w:hAnsi="Times New Roman" w:cs="Times New Roman"/>
          <w:sz w:val="24"/>
          <w:szCs w:val="24"/>
        </w:rPr>
        <w:t>;</w:t>
      </w:r>
    </w:p>
    <w:p w14:paraId="40CD45B7" w14:textId="16160349" w:rsidR="00050530" w:rsidRPr="00936339" w:rsidRDefault="001152D4" w:rsidP="00BF328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36339">
        <w:rPr>
          <w:rFonts w:ascii="Times New Roman" w:hAnsi="Times New Roman" w:cs="Times New Roman"/>
          <w:sz w:val="24"/>
          <w:szCs w:val="24"/>
        </w:rPr>
        <w:t>koszty wyżywienia uczestników przedsięwzięć takich jak, spotkania, szkolenia, konferencje, seminaria, wyjazdy studyjne organizowanych w ramach operacji</w:t>
      </w:r>
      <w:r w:rsidR="00485BD9" w:rsidRPr="00936339">
        <w:rPr>
          <w:rFonts w:ascii="Times New Roman" w:hAnsi="Times New Roman" w:cs="Times New Roman"/>
          <w:sz w:val="24"/>
          <w:szCs w:val="24"/>
        </w:rPr>
        <w:t xml:space="preserve">. 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Koszty wyżywienia (np. catering lub zakup artykułów spożywczych) </w:t>
      </w:r>
      <w:r w:rsidR="00F5497E" w:rsidRPr="00936339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1A37DD" w:rsidRPr="00936339">
        <w:rPr>
          <w:rFonts w:ascii="Times New Roman" w:hAnsi="Times New Roman" w:cs="Times New Roman"/>
          <w:sz w:val="24"/>
          <w:szCs w:val="24"/>
        </w:rPr>
        <w:lastRenderedPageBreak/>
        <w:t>do przygotowania poczęstunku w przypadku organizowania szkoleń, konferencji, spotkań, komitetów</w:t>
      </w:r>
      <w:r w:rsidR="000D0CC2" w:rsidRPr="00936339">
        <w:rPr>
          <w:rFonts w:ascii="Times New Roman" w:hAnsi="Times New Roman" w:cs="Times New Roman"/>
          <w:sz w:val="24"/>
          <w:szCs w:val="24"/>
        </w:rPr>
        <w:t xml:space="preserve"> itp</w:t>
      </w:r>
      <w:r w:rsidR="001A37DD" w:rsidRPr="00936339">
        <w:rPr>
          <w:rFonts w:ascii="Times New Roman" w:hAnsi="Times New Roman" w:cs="Times New Roman"/>
          <w:sz w:val="24"/>
          <w:szCs w:val="24"/>
        </w:rPr>
        <w:t>. W przypadku gdy faktyczna liczba uczestników, która wzięła udział 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936339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1A37DD" w:rsidRPr="00936339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3B745B" w:rsidRPr="00936339">
        <w:rPr>
          <w:rFonts w:ascii="Times New Roman" w:hAnsi="Times New Roman" w:cs="Times New Roman"/>
          <w:sz w:val="24"/>
          <w:szCs w:val="24"/>
        </w:rPr>
        <w:t>teringowej w całości wynikający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936339">
        <w:rPr>
          <w:rFonts w:ascii="Times New Roman" w:hAnsi="Times New Roman" w:cs="Times New Roman"/>
          <w:sz w:val="24"/>
          <w:szCs w:val="24"/>
        </w:rPr>
        <w:t xml:space="preserve"> 1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: W wydarzeniu udział zadeklarowało 100 </w:t>
      </w:r>
      <w:r w:rsidR="00933D77" w:rsidRPr="00936339">
        <w:rPr>
          <w:rFonts w:ascii="Times New Roman" w:hAnsi="Times New Roman" w:cs="Times New Roman"/>
          <w:sz w:val="24"/>
          <w:szCs w:val="24"/>
        </w:rPr>
        <w:t>osób,</w:t>
      </w:r>
      <w:r w:rsidR="00936339">
        <w:rPr>
          <w:rFonts w:ascii="Times New Roman" w:hAnsi="Times New Roman" w:cs="Times New Roman"/>
          <w:sz w:val="24"/>
          <w:szCs w:val="24"/>
        </w:rPr>
        <w:t xml:space="preserve"> a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 w:rsidRPr="00936339">
        <w:rPr>
          <w:rFonts w:ascii="Times New Roman" w:hAnsi="Times New Roman" w:cs="Times New Roman"/>
          <w:sz w:val="24"/>
          <w:szCs w:val="24"/>
        </w:rPr>
        <w:t xml:space="preserve"> osób</w:t>
      </w:r>
      <w:r w:rsidR="001A37DD" w:rsidRPr="00936339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936339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1A37DD" w:rsidRPr="0093633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E0135" w:rsidRPr="00936339">
        <w:rPr>
          <w:rFonts w:ascii="Times New Roman" w:hAnsi="Times New Roman" w:cs="Times New Roman"/>
          <w:sz w:val="24"/>
          <w:szCs w:val="24"/>
        </w:rPr>
        <w:t>tu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936339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936339">
        <w:rPr>
          <w:rFonts w:ascii="Times New Roman" w:hAnsi="Times New Roman" w:cs="Times New Roman"/>
          <w:sz w:val="24"/>
          <w:szCs w:val="24"/>
        </w:rPr>
        <w:t>Przykład</w:t>
      </w:r>
      <w:r w:rsidR="008E0135" w:rsidRPr="00936339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050530" w:rsidRPr="00936339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936339">
        <w:rPr>
          <w:rFonts w:ascii="Times New Roman" w:hAnsi="Times New Roman" w:cs="Times New Roman"/>
          <w:sz w:val="24"/>
          <w:szCs w:val="24"/>
        </w:rPr>
        <w:t xml:space="preserve"> a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faktycznie </w:t>
      </w:r>
      <w:r w:rsidR="00933D77" w:rsidRPr="00936339">
        <w:rPr>
          <w:rFonts w:ascii="Times New Roman" w:hAnsi="Times New Roman" w:cs="Times New Roman"/>
          <w:sz w:val="24"/>
          <w:szCs w:val="24"/>
        </w:rPr>
        <w:t>udział wzięł</w:t>
      </w:r>
      <w:r w:rsidR="00936339">
        <w:rPr>
          <w:rFonts w:ascii="Times New Roman" w:hAnsi="Times New Roman" w:cs="Times New Roman"/>
          <w:sz w:val="24"/>
          <w:szCs w:val="24"/>
        </w:rPr>
        <w:t>y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 83</w:t>
      </w:r>
      <w:r w:rsidR="003B745B" w:rsidRPr="00936339">
        <w:rPr>
          <w:rFonts w:ascii="Times New Roman" w:hAnsi="Times New Roman" w:cs="Times New Roman"/>
          <w:sz w:val="24"/>
          <w:szCs w:val="24"/>
        </w:rPr>
        <w:t xml:space="preserve"> oso</w:t>
      </w:r>
      <w:r w:rsidR="00050530" w:rsidRPr="00936339">
        <w:rPr>
          <w:rFonts w:ascii="Times New Roman" w:hAnsi="Times New Roman" w:cs="Times New Roman"/>
          <w:sz w:val="24"/>
          <w:szCs w:val="24"/>
        </w:rPr>
        <w:t>b</w:t>
      </w:r>
      <w:r w:rsidR="003B745B" w:rsidRPr="00936339">
        <w:rPr>
          <w:rFonts w:ascii="Times New Roman" w:hAnsi="Times New Roman" w:cs="Times New Roman"/>
          <w:sz w:val="24"/>
          <w:szCs w:val="24"/>
        </w:rPr>
        <w:t>y.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8A572D" w:rsidRPr="00936339">
        <w:rPr>
          <w:rFonts w:ascii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8A572D" w:rsidRPr="00936339">
        <w:rPr>
          <w:rFonts w:ascii="Times New Roman" w:hAnsi="Times New Roman" w:cs="Times New Roman"/>
          <w:sz w:val="24"/>
          <w:szCs w:val="24"/>
        </w:rPr>
        <w:t>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A572D" w:rsidRPr="00936339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936339">
        <w:rPr>
          <w:rFonts w:ascii="Times New Roman" w:hAnsi="Times New Roman" w:cs="Times New Roman"/>
          <w:sz w:val="24"/>
          <w:szCs w:val="24"/>
        </w:rPr>
        <w:t>d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50530" w:rsidRPr="0093633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50530" w:rsidRPr="00936339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powinien być pomniejszo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936339">
        <w:rPr>
          <w:rFonts w:ascii="Times New Roman" w:hAnsi="Times New Roman" w:cs="Times New Roman"/>
          <w:sz w:val="24"/>
          <w:szCs w:val="24"/>
        </w:rPr>
        <w:t>);</w:t>
      </w:r>
    </w:p>
    <w:p w14:paraId="23EEA34D" w14:textId="00D70DD9" w:rsidR="001152D4" w:rsidRPr="00050530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koszty wsparcia</w:t>
      </w:r>
      <w:r w:rsidR="00B039A5">
        <w:rPr>
          <w:rFonts w:ascii="Times New Roman" w:hAnsi="Times New Roman" w:cs="Times New Roman"/>
          <w:sz w:val="24"/>
          <w:szCs w:val="24"/>
        </w:rPr>
        <w:t xml:space="preserve"> ze strony</w:t>
      </w:r>
      <w:r w:rsidRPr="00050530">
        <w:rPr>
          <w:rFonts w:ascii="Times New Roman" w:hAnsi="Times New Roman" w:cs="Times New Roman"/>
          <w:sz w:val="24"/>
          <w:szCs w:val="24"/>
        </w:rPr>
        <w:t xml:space="preserve"> ekspertów oraz wykładowców</w:t>
      </w:r>
      <w:r w:rsidR="00390CED" w:rsidRPr="00050530">
        <w:rPr>
          <w:rFonts w:ascii="Times New Roman" w:hAnsi="Times New Roman" w:cs="Times New Roman"/>
          <w:sz w:val="24"/>
          <w:szCs w:val="24"/>
        </w:rPr>
        <w:t>;</w:t>
      </w:r>
    </w:p>
    <w:p w14:paraId="16FDC696" w14:textId="07E10373" w:rsidR="00A731C2" w:rsidRPr="008E0135" w:rsidRDefault="00390CED" w:rsidP="00BF328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E0135">
        <w:rPr>
          <w:rFonts w:ascii="Times New Roman" w:hAnsi="Times New Roman" w:cs="Times New Roman"/>
          <w:sz w:val="24"/>
          <w:szCs w:val="24"/>
        </w:rPr>
        <w:t xml:space="preserve">koszty </w:t>
      </w:r>
      <w:r w:rsidR="00485BD9" w:rsidRPr="008E0135">
        <w:rPr>
          <w:rFonts w:ascii="Times New Roman" w:hAnsi="Times New Roman" w:cs="Times New Roman"/>
          <w:sz w:val="24"/>
          <w:szCs w:val="24"/>
        </w:rPr>
        <w:t>podróży służbowych</w:t>
      </w:r>
      <w:r w:rsidR="00FF4EA9" w:rsidRPr="008E0135">
        <w:rPr>
          <w:rFonts w:ascii="Times New Roman" w:hAnsi="Times New Roman" w:cs="Times New Roman"/>
          <w:sz w:val="24"/>
          <w:szCs w:val="24"/>
        </w:rPr>
        <w:t>, w tym noclegu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</w:t>
      </w:r>
      <w:r w:rsidR="00B039A5">
        <w:rPr>
          <w:rFonts w:ascii="Times New Roman" w:hAnsi="Times New Roman" w:cs="Times New Roman"/>
          <w:sz w:val="24"/>
          <w:szCs w:val="24"/>
        </w:rPr>
        <w:t>w związku z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organizowani</w:t>
      </w:r>
      <w:r w:rsidR="00B039A5">
        <w:rPr>
          <w:rFonts w:ascii="Times New Roman" w:hAnsi="Times New Roman" w:cs="Times New Roman"/>
          <w:sz w:val="24"/>
          <w:szCs w:val="24"/>
        </w:rPr>
        <w:t>em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szkoleń, konferencji, spotkań, komitetów</w:t>
      </w:r>
      <w:r w:rsidR="000D0CC2" w:rsidRPr="008E0135">
        <w:rPr>
          <w:rFonts w:ascii="Times New Roman" w:hAnsi="Times New Roman" w:cs="Times New Roman"/>
          <w:sz w:val="24"/>
          <w:szCs w:val="24"/>
        </w:rPr>
        <w:t xml:space="preserve"> itp</w:t>
      </w:r>
      <w:r w:rsidR="00A731C2" w:rsidRPr="008E0135">
        <w:rPr>
          <w:rFonts w:ascii="Times New Roman" w:hAnsi="Times New Roman" w:cs="Times New Roman"/>
          <w:sz w:val="24"/>
          <w:szCs w:val="24"/>
        </w:rPr>
        <w:t>. W przypadku gdy faktyczna liczba uczestników, która została zgłoszona do korzystania z usługi noclegu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A731C2" w:rsidRPr="008E0135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</w:t>
      </w:r>
      <w:r w:rsidR="003B745B">
        <w:rPr>
          <w:rFonts w:ascii="Times New Roman" w:hAnsi="Times New Roman" w:cs="Times New Roman"/>
          <w:sz w:val="24"/>
          <w:szCs w:val="24"/>
        </w:rPr>
        <w:t xml:space="preserve"> noclegowej w całości wynikający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8E0135">
        <w:rPr>
          <w:rFonts w:ascii="Times New Roman" w:hAnsi="Times New Roman" w:cs="Times New Roman"/>
          <w:sz w:val="24"/>
          <w:szCs w:val="24"/>
        </w:rPr>
        <w:t>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933D77" w:rsidRPr="008E0135">
        <w:rPr>
          <w:rFonts w:ascii="Times New Roman" w:hAnsi="Times New Roman" w:cs="Times New Roman"/>
          <w:sz w:val="24"/>
          <w:szCs w:val="24"/>
        </w:rPr>
        <w:t>sób,</w:t>
      </w:r>
      <w:r w:rsidR="00B039A5">
        <w:rPr>
          <w:rFonts w:ascii="Times New Roman" w:hAnsi="Times New Roman" w:cs="Times New Roman"/>
          <w:sz w:val="24"/>
          <w:szCs w:val="24"/>
        </w:rPr>
        <w:t xml:space="preserve"> a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. Zatem faktyczna liczba uczestników, która nie wzięła udziału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8E0135">
        <w:rPr>
          <w:rFonts w:ascii="Times New Roman" w:hAnsi="Times New Roman" w:cs="Times New Roman"/>
          <w:sz w:val="24"/>
          <w:szCs w:val="24"/>
        </w:rPr>
        <w:t>w wydarzeniu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8E0135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E0135" w:rsidRPr="008E0135">
        <w:rPr>
          <w:rFonts w:ascii="Times New Roman" w:hAnsi="Times New Roman" w:cs="Times New Roman"/>
          <w:sz w:val="24"/>
          <w:szCs w:val="24"/>
        </w:rPr>
        <w:t>tu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8E0135">
        <w:rPr>
          <w:rFonts w:ascii="Times New Roman" w:hAnsi="Times New Roman" w:cs="Times New Roman"/>
          <w:sz w:val="24"/>
          <w:szCs w:val="24"/>
        </w:rPr>
        <w:t>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933D77" w:rsidRPr="008E0135">
        <w:rPr>
          <w:rFonts w:ascii="Times New Roman" w:hAnsi="Times New Roman" w:cs="Times New Roman"/>
          <w:sz w:val="24"/>
          <w:szCs w:val="24"/>
        </w:rPr>
        <w:t>sób,</w:t>
      </w:r>
      <w:r w:rsidR="005D5E86">
        <w:rPr>
          <w:rFonts w:ascii="Times New Roman" w:hAnsi="Times New Roman" w:cs="Times New Roman"/>
          <w:sz w:val="24"/>
          <w:szCs w:val="24"/>
        </w:rPr>
        <w:t xml:space="preserve"> a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5D5E86">
        <w:rPr>
          <w:rFonts w:ascii="Times New Roman" w:hAnsi="Times New Roman" w:cs="Times New Roman"/>
          <w:sz w:val="24"/>
          <w:szCs w:val="24"/>
        </w:rPr>
        <w:t>y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83</w:t>
      </w:r>
      <w:r w:rsidR="003B745B">
        <w:rPr>
          <w:rFonts w:ascii="Times New Roman" w:hAnsi="Times New Roman" w:cs="Times New Roman"/>
          <w:sz w:val="24"/>
          <w:szCs w:val="24"/>
        </w:rPr>
        <w:t xml:space="preserve"> osoby.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w wydarzeniu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5D5E86">
        <w:rPr>
          <w:rFonts w:ascii="Times New Roman" w:hAnsi="Times New Roman" w:cs="Times New Roman"/>
          <w:sz w:val="24"/>
          <w:szCs w:val="24"/>
        </w:rPr>
        <w:t>d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50530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104CF352" w14:textId="0A472AFE" w:rsidR="001152D4" w:rsidRPr="00F44213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t>koszty przygotowania</w:t>
      </w:r>
      <w:r>
        <w:rPr>
          <w:rFonts w:ascii="Times New Roman" w:hAnsi="Times New Roman" w:cs="Times New Roman"/>
          <w:sz w:val="24"/>
          <w:szCs w:val="24"/>
        </w:rPr>
        <w:t>, druku</w:t>
      </w:r>
      <w:r w:rsidRPr="00601DF6">
        <w:rPr>
          <w:rFonts w:ascii="Times New Roman" w:hAnsi="Times New Roman" w:cs="Times New Roman"/>
          <w:sz w:val="24"/>
          <w:szCs w:val="24"/>
        </w:rPr>
        <w:t xml:space="preserve"> i dystrybucji publikacji (fo</w:t>
      </w:r>
      <w:r>
        <w:rPr>
          <w:rFonts w:ascii="Times New Roman" w:hAnsi="Times New Roman" w:cs="Times New Roman"/>
          <w:sz w:val="24"/>
          <w:szCs w:val="24"/>
        </w:rPr>
        <w:t>ldery, ulotki, broszury itp.);</w:t>
      </w:r>
    </w:p>
    <w:p w14:paraId="731F42B0" w14:textId="3B306B42" w:rsidR="001152D4" w:rsidRPr="00601DF6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t>koszty przygotowania</w:t>
      </w:r>
      <w:r>
        <w:rPr>
          <w:rFonts w:ascii="Times New Roman" w:hAnsi="Times New Roman" w:cs="Times New Roman"/>
          <w:sz w:val="24"/>
          <w:szCs w:val="24"/>
        </w:rPr>
        <w:t>, zamieszczenia</w:t>
      </w:r>
      <w:r w:rsidRPr="00601DF6">
        <w:rPr>
          <w:rFonts w:ascii="Times New Roman" w:hAnsi="Times New Roman" w:cs="Times New Roman"/>
          <w:sz w:val="24"/>
          <w:szCs w:val="24"/>
        </w:rPr>
        <w:t xml:space="preserve"> i dystrybucji materiału in</w:t>
      </w:r>
      <w:r>
        <w:rPr>
          <w:rFonts w:ascii="Times New Roman" w:hAnsi="Times New Roman" w:cs="Times New Roman"/>
          <w:sz w:val="24"/>
          <w:szCs w:val="24"/>
        </w:rPr>
        <w:t xml:space="preserve">formacyjnego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prasie (artykuł);</w:t>
      </w:r>
    </w:p>
    <w:p w14:paraId="114E5918" w14:textId="77777777" w:rsidR="001152D4" w:rsidRPr="00601DF6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lastRenderedPageBreak/>
        <w:t>koszty opracowania graficznego, przygotowania do emisji i emisja materiału informacyjnego na stronie portalu internetowego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BCAAA4" w14:textId="25D35F98" w:rsidR="001152D4" w:rsidRPr="004D1897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t xml:space="preserve">koszty przygotowania i dystrybucji materiału informacyjnego na konkurs, imprezę o charakterze rolniczym np. koszt opracowania graficznego i przygotowania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601DF6">
        <w:rPr>
          <w:rFonts w:ascii="Times New Roman" w:hAnsi="Times New Roman" w:cs="Times New Roman"/>
          <w:sz w:val="24"/>
          <w:szCs w:val="24"/>
        </w:rPr>
        <w:t>do druku, druku i dystrybucji podczas konkursu/imprezy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56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AFC8B" w14:textId="77777777" w:rsidR="001152D4" w:rsidRPr="00156F92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56F92">
        <w:rPr>
          <w:rFonts w:ascii="Times New Roman" w:hAnsi="Times New Roman" w:cs="Times New Roman"/>
          <w:sz w:val="24"/>
          <w:szCs w:val="24"/>
        </w:rPr>
        <w:t>koszty materiałów promocyjnych</w:t>
      </w:r>
      <w:r w:rsidR="00F66AE0" w:rsidRPr="00156F92">
        <w:rPr>
          <w:rFonts w:ascii="Times New Roman" w:hAnsi="Times New Roman" w:cs="Times New Roman"/>
          <w:sz w:val="24"/>
          <w:szCs w:val="24"/>
        </w:rPr>
        <w:t>;</w:t>
      </w:r>
    </w:p>
    <w:p w14:paraId="1EE7255C" w14:textId="2C53F191" w:rsidR="0062224C" w:rsidRDefault="00F66AE0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F92"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nagród rzeczowych dla laureatów konkursu</w:t>
      </w:r>
      <w:r w:rsidR="0062224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990702" w14:textId="778572E3" w:rsidR="00F14BEF" w:rsidRDefault="0062224C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 koordynatora projektu</w:t>
      </w:r>
      <w:r w:rsidR="00D9746B">
        <w:rPr>
          <w:rFonts w:ascii="Times New Roman" w:eastAsia="Calibri" w:hAnsi="Times New Roman" w:cs="Times New Roman"/>
          <w:sz w:val="24"/>
          <w:szCs w:val="24"/>
        </w:rPr>
        <w:t xml:space="preserve"> (gdy dane zadanie ma związek z merytoryczną częścią realizacji operacji np. </w:t>
      </w:r>
      <w:r w:rsidR="00D9746B" w:rsidRPr="00D9746B">
        <w:rPr>
          <w:rFonts w:ascii="Times New Roman" w:eastAsia="Calibri" w:hAnsi="Times New Roman" w:cs="Times New Roman"/>
          <w:sz w:val="24"/>
          <w:szCs w:val="24"/>
        </w:rPr>
        <w:t>koszt rekrutacji uczestników grupy</w:t>
      </w:r>
      <w:r w:rsidR="00D974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8B4C74">
        <w:rPr>
          <w:rFonts w:ascii="Times New Roman" w:eastAsia="Calibri" w:hAnsi="Times New Roman" w:cs="Times New Roman"/>
          <w:sz w:val="24"/>
          <w:szCs w:val="24"/>
        </w:rPr>
        <w:t>o</w:t>
      </w:r>
      <w:r w:rsidR="00D9746B">
        <w:rPr>
          <w:rFonts w:ascii="Times New Roman" w:eastAsia="Calibri" w:hAnsi="Times New Roman" w:cs="Times New Roman"/>
          <w:sz w:val="24"/>
          <w:szCs w:val="24"/>
        </w:rPr>
        <w:t>celowej);</w:t>
      </w:r>
    </w:p>
    <w:p w14:paraId="17AED682" w14:textId="24965126" w:rsidR="00F66AE0" w:rsidRPr="00F14BEF" w:rsidRDefault="00F14BEF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 uzyskania świadczeń.</w:t>
      </w:r>
    </w:p>
    <w:p w14:paraId="2967F997" w14:textId="77777777" w:rsidR="001152D4" w:rsidRDefault="001152D4" w:rsidP="00156F92">
      <w:pPr>
        <w:spacing w:before="60" w:after="60"/>
        <w:ind w:left="284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EF0D2" w14:textId="77777777" w:rsidR="001152D4" w:rsidRPr="006358B5" w:rsidRDefault="00A634B2" w:rsidP="00156F92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Materiały promocyjne są kwalifikowalne jeżeli spełniają następujące warunki:</w:t>
      </w:r>
    </w:p>
    <w:p w14:paraId="47C96F65" w14:textId="5DF1E841" w:rsidR="001152D4" w:rsidRDefault="001152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są ujęte w budżecie operacji i stanowią jedną z</w:t>
      </w:r>
      <w:r w:rsidR="00B9682A">
        <w:rPr>
          <w:rFonts w:ascii="Times New Roman" w:eastAsia="Calibri" w:hAnsi="Times New Roman" w:cs="Times New Roman"/>
          <w:sz w:val="24"/>
          <w:szCs w:val="24"/>
        </w:rPr>
        <w:t>e składowych operacji;</w:t>
      </w:r>
    </w:p>
    <w:p w14:paraId="15C35DFF" w14:textId="3FAC5A0C" w:rsidR="002C7848" w:rsidRPr="00B9682A" w:rsidRDefault="002C7848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przypadku </w:t>
      </w:r>
      <w:r w:rsidR="00BA5AD8">
        <w:rPr>
          <w:rFonts w:ascii="Times New Roman" w:eastAsia="Calibri" w:hAnsi="Times New Roman" w:cs="Times New Roman"/>
          <w:sz w:val="24"/>
          <w:szCs w:val="24"/>
        </w:rPr>
        <w:t xml:space="preserve">CDR i </w:t>
      </w:r>
      <w:r w:rsidRPr="002C7848">
        <w:rPr>
          <w:rFonts w:ascii="Times New Roman" w:eastAsia="Calibri" w:hAnsi="Times New Roman" w:cs="Times New Roman"/>
          <w:sz w:val="24"/>
          <w:szCs w:val="24"/>
        </w:rPr>
        <w:t>ODR działania informacyjne i  promocyjne</w:t>
      </w:r>
      <w:r w:rsidR="005D5E86">
        <w:rPr>
          <w:rFonts w:ascii="Times New Roman" w:eastAsia="Calibri" w:hAnsi="Times New Roman" w:cs="Times New Roman"/>
          <w:sz w:val="24"/>
          <w:szCs w:val="24"/>
        </w:rPr>
        <w:t xml:space="preserve"> w ramach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 SIR </w:t>
      </w:r>
      <w:r>
        <w:rPr>
          <w:rFonts w:ascii="Times New Roman" w:eastAsia="Calibri" w:hAnsi="Times New Roman" w:cs="Times New Roman"/>
          <w:sz w:val="24"/>
          <w:szCs w:val="24"/>
        </w:rPr>
        <w:t>są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 realizowane jako </w:t>
      </w:r>
      <w:r w:rsidR="005D5E86">
        <w:rPr>
          <w:rFonts w:ascii="Times New Roman" w:eastAsia="Calibri" w:hAnsi="Times New Roman" w:cs="Times New Roman"/>
          <w:sz w:val="24"/>
          <w:szCs w:val="24"/>
        </w:rPr>
        <w:t>operacje</w:t>
      </w:r>
      <w:r w:rsidR="005D5E86" w:rsidRPr="002C7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własne w ramach działania 2 Planu działania KSOW </w:t>
      </w:r>
      <w:r w:rsidRPr="00704340">
        <w:rPr>
          <w:rFonts w:ascii="Times New Roman" w:eastAsia="Calibri" w:hAnsi="Times New Roman" w:cs="Times New Roman"/>
          <w:i/>
          <w:sz w:val="24"/>
          <w:szCs w:val="24"/>
        </w:rPr>
        <w:t>Działania na rzecz tworzenia sieci kontaktów dla doradców i służb wspierających wdrażanie innowacji na obszarach wiejskich</w:t>
      </w:r>
      <w:r w:rsidR="008B4C7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F9AD1F" w14:textId="7CEF63CB" w:rsidR="001152D4" w:rsidRPr="00B9682A" w:rsidRDefault="001152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nie są realizowane jako samodzieln</w:t>
      </w:r>
      <w:r w:rsidR="005D5E86">
        <w:rPr>
          <w:rFonts w:ascii="Times New Roman" w:eastAsia="Calibri" w:hAnsi="Times New Roman" w:cs="Times New Roman"/>
          <w:sz w:val="24"/>
          <w:szCs w:val="24"/>
        </w:rPr>
        <w:t>a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E86">
        <w:rPr>
          <w:rFonts w:ascii="Times New Roman" w:eastAsia="Calibri" w:hAnsi="Times New Roman" w:cs="Times New Roman"/>
          <w:sz w:val="24"/>
          <w:szCs w:val="24"/>
        </w:rPr>
        <w:t>operacja</w:t>
      </w:r>
      <w:r w:rsidRPr="00B968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733B8E" w14:textId="77777777" w:rsidR="008C2CB3" w:rsidRDefault="008C2CB3" w:rsidP="008C2CB3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C08065" w14:textId="77777777" w:rsidR="004F62F7" w:rsidRDefault="004F62F7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4F62F7">
        <w:rPr>
          <w:rFonts w:ascii="Times New Roman" w:hAnsi="Times New Roman" w:cs="Times New Roman"/>
          <w:b/>
          <w:sz w:val="24"/>
          <w:szCs w:val="24"/>
        </w:rPr>
        <w:t>Koszty podróży służbowych oraz przejazdów, dojazdów środkami komunikacji miejscowej</w:t>
      </w:r>
      <w:r>
        <w:rPr>
          <w:rFonts w:ascii="Times New Roman" w:hAnsi="Times New Roman" w:cs="Times New Roman"/>
          <w:b/>
          <w:sz w:val="24"/>
          <w:szCs w:val="24"/>
        </w:rPr>
        <w:t xml:space="preserve"> i noclegów poniesione przez inne osoby w związku z realizacją operacji</w:t>
      </w:r>
    </w:p>
    <w:p w14:paraId="6E0A69F2" w14:textId="144D28E6" w:rsidR="004F62F7" w:rsidRDefault="004F62F7" w:rsidP="004F62F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Kosztami kwalifikowalnymi są k</w:t>
      </w:r>
      <w:r w:rsidRPr="00601DF6">
        <w:rPr>
          <w:rFonts w:ascii="Times New Roman" w:hAnsi="Times New Roman" w:cs="Times New Roman"/>
          <w:sz w:val="24"/>
          <w:szCs w:val="24"/>
        </w:rPr>
        <w:t xml:space="preserve">oszty przejazdów, dojazdów środkami komunikacji miejscowej </w:t>
      </w:r>
      <w:r>
        <w:rPr>
          <w:rFonts w:ascii="Times New Roman" w:hAnsi="Times New Roman" w:cs="Times New Roman"/>
          <w:sz w:val="24"/>
          <w:szCs w:val="24"/>
        </w:rPr>
        <w:t>oraz noclegów poniesione przez osoby w związku z realizacją operacji</w:t>
      </w:r>
      <w:r w:rsidR="005D5E86">
        <w:rPr>
          <w:rFonts w:ascii="Times New Roman" w:hAnsi="Times New Roman" w:cs="Times New Roman"/>
          <w:sz w:val="24"/>
          <w:szCs w:val="24"/>
        </w:rPr>
        <w:t xml:space="preserve"> ujętej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5D5E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zaakceptowan</w:t>
      </w:r>
      <w:r w:rsidR="005D5E86">
        <w:rPr>
          <w:rFonts w:ascii="Times New Roman" w:hAnsi="Times New Roman" w:cs="Times New Roman"/>
          <w:sz w:val="24"/>
          <w:szCs w:val="24"/>
        </w:rPr>
        <w:t>ym przez Grupę Roboczą ds. KSOW</w:t>
      </w:r>
      <w:r>
        <w:rPr>
          <w:rFonts w:ascii="Times New Roman" w:hAnsi="Times New Roman" w:cs="Times New Roman"/>
          <w:sz w:val="24"/>
          <w:szCs w:val="24"/>
        </w:rPr>
        <w:t xml:space="preserve"> dwuletnim planie operacyjnym. </w:t>
      </w:r>
    </w:p>
    <w:p w14:paraId="208F5F27" w14:textId="2B2863A7" w:rsidR="004F62F7" w:rsidRDefault="004F62F7" w:rsidP="004F62F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36F96">
        <w:rPr>
          <w:rFonts w:ascii="Times New Roman" w:hAnsi="Times New Roman" w:cs="Times New Roman"/>
          <w:sz w:val="24"/>
          <w:szCs w:val="24"/>
        </w:rPr>
        <w:t>Koszty przejazdów środkami komunikacji publicznej powinny wynikać z aktualnego taryfikatora przejazdów kolejowych, autokarowych, autobusowych itp. W przypadku podróży samochodami służbowymi oraz samochodami prywatnymi wykorzystywanymi do celów służbowych na potrzeby</w:t>
      </w:r>
      <w:r>
        <w:rPr>
          <w:rFonts w:ascii="Times New Roman" w:hAnsi="Times New Roman" w:cs="Times New Roman"/>
          <w:sz w:val="24"/>
          <w:szCs w:val="24"/>
        </w:rPr>
        <w:t xml:space="preserve"> realizacji operacji</w:t>
      </w:r>
      <w:r w:rsidRPr="00136F96">
        <w:rPr>
          <w:rFonts w:ascii="Times New Roman" w:hAnsi="Times New Roman" w:cs="Times New Roman"/>
          <w:sz w:val="24"/>
          <w:szCs w:val="24"/>
        </w:rPr>
        <w:t xml:space="preserve">, koszty z nimi związane należy rozliczyć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36F96">
        <w:rPr>
          <w:rFonts w:ascii="Times New Roman" w:hAnsi="Times New Roman" w:cs="Times New Roman"/>
          <w:sz w:val="24"/>
          <w:szCs w:val="24"/>
        </w:rPr>
        <w:t>na podstawie dokumentacji dotyczącej podróży, tj. należy uwzględnić datę wyjazdu, opis trasy (skąd – dokąd), cel wyjazdu, liczbę przejechanych kilometrów, stawkę za 1 km przebiegu</w:t>
      </w:r>
      <w:r w:rsidR="00415527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 xml:space="preserve">(wg stawek za kilometr zgodnych z obowiązującymi przepisami), całkowity koszt przejazdu, numer rejestracyjny pojazdu oraz pojemność i rodzaj silnika. Użycie samochodu jako środka transportu i przedstawienie wynikających z tego kosztów jako kwalifikowalnych zasadne jest wtedy, gdy nie istnieje inna, bardziej racjonalna możliwość przejazdu, co należy </w:t>
      </w:r>
      <w:r w:rsidR="005B4375">
        <w:rPr>
          <w:rFonts w:ascii="Times New Roman" w:hAnsi="Times New Roman" w:cs="Times New Roman"/>
          <w:sz w:val="24"/>
          <w:szCs w:val="24"/>
        </w:rPr>
        <w:t>wyjaśnić</w:t>
      </w:r>
      <w:r w:rsidR="005B4375" w:rsidRPr="00136F96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uzasadnieniu do wniosku.</w:t>
      </w:r>
      <w:r w:rsidRPr="00975ECD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przypadku korzystania z przejazdów kolejowych, autokarowych</w:t>
      </w:r>
      <w:r w:rsidR="005B4375">
        <w:rPr>
          <w:rFonts w:ascii="Times New Roman" w:hAnsi="Times New Roman" w:cs="Times New Roman"/>
          <w:sz w:val="24"/>
          <w:szCs w:val="24"/>
        </w:rPr>
        <w:t xml:space="preserve"> lub</w:t>
      </w:r>
      <w:r w:rsidRPr="00136F96">
        <w:rPr>
          <w:rFonts w:ascii="Times New Roman" w:hAnsi="Times New Roman" w:cs="Times New Roman"/>
          <w:sz w:val="24"/>
          <w:szCs w:val="24"/>
        </w:rPr>
        <w:t xml:space="preserve"> autobusowych</w:t>
      </w:r>
      <w:r w:rsidR="005B4375">
        <w:rPr>
          <w:rFonts w:ascii="Times New Roman" w:hAnsi="Times New Roman" w:cs="Times New Roman"/>
          <w:sz w:val="24"/>
          <w:szCs w:val="24"/>
        </w:rPr>
        <w:t>,</w:t>
      </w:r>
      <w:r w:rsidRPr="00136F96">
        <w:rPr>
          <w:rFonts w:ascii="Times New Roman" w:hAnsi="Times New Roman" w:cs="Times New Roman"/>
          <w:sz w:val="24"/>
          <w:szCs w:val="24"/>
        </w:rPr>
        <w:t xml:space="preserve"> należy przedstawić dokumenty poświa</w:t>
      </w:r>
      <w:r>
        <w:rPr>
          <w:rFonts w:ascii="Times New Roman" w:hAnsi="Times New Roman" w:cs="Times New Roman"/>
          <w:sz w:val="24"/>
          <w:szCs w:val="24"/>
        </w:rPr>
        <w:t>dczające odbycie podróży (bilet</w:t>
      </w:r>
      <w:r w:rsidRPr="00136F9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Za k</w:t>
      </w:r>
      <w:r w:rsidRPr="00136F96">
        <w:rPr>
          <w:rFonts w:ascii="Times New Roman" w:hAnsi="Times New Roman" w:cs="Times New Roman"/>
          <w:sz w:val="24"/>
          <w:szCs w:val="24"/>
        </w:rPr>
        <w:t>walifikowalne uznawane będą koszty, które są racjonalne. W przypadku przejazdów kolejowych</w:t>
      </w:r>
      <w:r w:rsidR="005B4375">
        <w:rPr>
          <w:rFonts w:ascii="Times New Roman" w:hAnsi="Times New Roman" w:cs="Times New Roman"/>
          <w:sz w:val="24"/>
          <w:szCs w:val="24"/>
        </w:rPr>
        <w:t>,</w:t>
      </w:r>
      <w:r w:rsidRPr="00136F96">
        <w:rPr>
          <w:rFonts w:ascii="Times New Roman" w:hAnsi="Times New Roman" w:cs="Times New Roman"/>
          <w:sz w:val="24"/>
          <w:szCs w:val="24"/>
        </w:rPr>
        <w:t xml:space="preserve"> podróże takie powinny odbywać się w II klasie. </w:t>
      </w:r>
      <w:r w:rsidR="006E47A0">
        <w:rPr>
          <w:rFonts w:ascii="Times New Roman" w:hAnsi="Times New Roman" w:cs="Times New Roman"/>
          <w:sz w:val="24"/>
          <w:szCs w:val="24"/>
        </w:rPr>
        <w:t>W wyjątkowych przypadkach możliwa jest refundacja</w:t>
      </w:r>
      <w:r w:rsidR="005B4375">
        <w:rPr>
          <w:rFonts w:ascii="Times New Roman" w:hAnsi="Times New Roman" w:cs="Times New Roman"/>
          <w:sz w:val="24"/>
          <w:szCs w:val="24"/>
        </w:rPr>
        <w:t xml:space="preserve"> kosztów </w:t>
      </w:r>
      <w:r w:rsidR="006E47A0">
        <w:rPr>
          <w:rFonts w:ascii="Times New Roman" w:hAnsi="Times New Roman" w:cs="Times New Roman"/>
          <w:sz w:val="24"/>
          <w:szCs w:val="24"/>
        </w:rPr>
        <w:t>biletów kolejowych zakupionych w I klasie. Dotyczy to sytuacji, w której brak było możliwości zakupu na dane połączenie</w:t>
      </w:r>
      <w:r w:rsidR="005B4375">
        <w:rPr>
          <w:rFonts w:ascii="Times New Roman" w:hAnsi="Times New Roman" w:cs="Times New Roman"/>
          <w:sz w:val="24"/>
          <w:szCs w:val="24"/>
        </w:rPr>
        <w:t xml:space="preserve"> i w danym terminie</w:t>
      </w:r>
      <w:r w:rsidR="006E47A0">
        <w:rPr>
          <w:rFonts w:ascii="Times New Roman" w:hAnsi="Times New Roman" w:cs="Times New Roman"/>
          <w:sz w:val="24"/>
          <w:szCs w:val="24"/>
        </w:rPr>
        <w:t xml:space="preserve"> biletów innych niż w I klasie.</w:t>
      </w:r>
    </w:p>
    <w:p w14:paraId="5095B320" w14:textId="77777777" w:rsidR="00704340" w:rsidRDefault="00704340" w:rsidP="004F62F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74226EC" w14:textId="77777777" w:rsidR="00C72062" w:rsidRDefault="007C1CAA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Koszty nagród finansowych </w:t>
      </w:r>
      <w:r w:rsidR="00D7793E">
        <w:rPr>
          <w:rFonts w:ascii="Times New Roman" w:hAnsi="Times New Roman" w:cs="Times New Roman"/>
          <w:b/>
          <w:sz w:val="24"/>
          <w:szCs w:val="24"/>
        </w:rPr>
        <w:t>dla laureatów konkursów</w:t>
      </w:r>
    </w:p>
    <w:p w14:paraId="7FDBF7B5" w14:textId="733CDB83" w:rsidR="00D7793E" w:rsidRDefault="00D7793E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te </w:t>
      </w:r>
      <w:r w:rsidRPr="00601DF6">
        <w:rPr>
          <w:rFonts w:ascii="Times" w:hAnsi="Times" w:cs="Arial"/>
          <w:bCs/>
          <w:sz w:val="24"/>
          <w:szCs w:val="20"/>
        </w:rPr>
        <w:t>są kwalifikowalne</w:t>
      </w:r>
      <w:r w:rsidR="005B4375">
        <w:rPr>
          <w:rFonts w:ascii="Times" w:hAnsi="Times" w:cs="Arial"/>
          <w:bCs/>
          <w:sz w:val="24"/>
          <w:szCs w:val="20"/>
        </w:rPr>
        <w:t>,</w:t>
      </w:r>
      <w:r w:rsidRPr="00601DF6">
        <w:rPr>
          <w:rFonts w:ascii="Times" w:hAnsi="Times" w:cs="Arial"/>
          <w:bCs/>
          <w:sz w:val="24"/>
          <w:szCs w:val="20"/>
        </w:rPr>
        <w:t xml:space="preserve"> jeżeli są </w:t>
      </w:r>
      <w:r w:rsidRPr="006A73F0">
        <w:rPr>
          <w:rFonts w:ascii="Times" w:hAnsi="Times" w:cs="Arial"/>
          <w:bCs/>
          <w:sz w:val="24"/>
          <w:szCs w:val="20"/>
        </w:rPr>
        <w:t xml:space="preserve">uzasadnione zakresem </w:t>
      </w:r>
      <w:r>
        <w:rPr>
          <w:rFonts w:ascii="Times" w:hAnsi="Times" w:cs="Arial"/>
          <w:bCs/>
          <w:sz w:val="24"/>
          <w:szCs w:val="20"/>
        </w:rPr>
        <w:t xml:space="preserve">realizowanej operacji, niezbędne </w:t>
      </w:r>
      <w:r w:rsidRPr="006A73F0">
        <w:rPr>
          <w:rFonts w:ascii="Times" w:hAnsi="Times" w:cs="Arial"/>
          <w:bCs/>
          <w:sz w:val="24"/>
          <w:szCs w:val="20"/>
        </w:rPr>
        <w:t xml:space="preserve"> do osiągnięcia jej celu oraz racjonalne.</w:t>
      </w:r>
      <w:r>
        <w:rPr>
          <w:rFonts w:ascii="Times" w:hAnsi="Times" w:cs="Arial"/>
          <w:bCs/>
          <w:sz w:val="24"/>
          <w:szCs w:val="20"/>
        </w:rPr>
        <w:t xml:space="preserve"> </w:t>
      </w:r>
      <w:r w:rsidRPr="004D1897">
        <w:rPr>
          <w:rFonts w:ascii="Times New Roman" w:hAnsi="Times New Roman" w:cs="Times New Roman"/>
          <w:sz w:val="24"/>
          <w:szCs w:val="24"/>
        </w:rPr>
        <w:t xml:space="preserve">Nagrody pieniężne dla uczestników w konkursach mogą zostać uznane za koszt kwalifikowalny, o ile zostały przewidziane </w:t>
      </w:r>
      <w:r w:rsidR="00C055F8">
        <w:rPr>
          <w:rFonts w:ascii="Times New Roman" w:hAnsi="Times New Roman" w:cs="Times New Roman"/>
          <w:sz w:val="24"/>
          <w:szCs w:val="24"/>
        </w:rPr>
        <w:t xml:space="preserve">w operacji ujętej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4D189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dwuletnim planie operacyjnym</w:t>
      </w:r>
      <w:r w:rsidR="005B4375">
        <w:rPr>
          <w:rFonts w:ascii="Times New Roman" w:hAnsi="Times New Roman" w:cs="Times New Roman"/>
          <w:sz w:val="24"/>
          <w:szCs w:val="24"/>
        </w:rPr>
        <w:t>, zaakceptowanym przez Grupę Roboczą ds. KSOW</w:t>
      </w:r>
      <w:r w:rsidRPr="004D1897">
        <w:rPr>
          <w:rFonts w:ascii="Times New Roman" w:hAnsi="Times New Roman" w:cs="Times New Roman"/>
          <w:sz w:val="24"/>
          <w:szCs w:val="24"/>
        </w:rPr>
        <w:t>.</w:t>
      </w:r>
      <w:r w:rsidR="005B4375">
        <w:rPr>
          <w:rFonts w:ascii="Times New Roman" w:hAnsi="Times New Roman" w:cs="Times New Roman"/>
          <w:sz w:val="24"/>
          <w:szCs w:val="24"/>
        </w:rPr>
        <w:t xml:space="preserve"> Koszty nagród pieniężnych są kwalifikowalne tylko wtedy, gdy</w:t>
      </w:r>
      <w:r w:rsidR="00BF0820">
        <w:rPr>
          <w:rFonts w:ascii="Times New Roman" w:hAnsi="Times New Roman" w:cs="Times New Roman"/>
          <w:sz w:val="24"/>
          <w:szCs w:val="24"/>
        </w:rPr>
        <w:t xml:space="preserve"> nagrody te</w:t>
      </w:r>
      <w:r w:rsidR="005B4375">
        <w:rPr>
          <w:rFonts w:ascii="Times New Roman" w:hAnsi="Times New Roman" w:cs="Times New Roman"/>
          <w:sz w:val="24"/>
          <w:szCs w:val="24"/>
        </w:rPr>
        <w:t xml:space="preserve"> zostały przyznane</w:t>
      </w:r>
      <w:r w:rsidR="00BF0820">
        <w:rPr>
          <w:rFonts w:ascii="Times New Roman" w:hAnsi="Times New Roman" w:cs="Times New Roman"/>
          <w:sz w:val="24"/>
          <w:szCs w:val="24"/>
        </w:rPr>
        <w:t xml:space="preserve"> </w:t>
      </w:r>
      <w:r w:rsidR="005B4375">
        <w:rPr>
          <w:rFonts w:ascii="Times New Roman" w:hAnsi="Times New Roman" w:cs="Times New Roman"/>
          <w:sz w:val="24"/>
          <w:szCs w:val="24"/>
        </w:rPr>
        <w:t>laureatom konkursu. Jeżeli otrzymają je również pozostali uczestnicy konkursu, którzy nie są jego laureatami, wówczas koszt tych nagród będzie niekwalifikowalny.</w:t>
      </w:r>
      <w:r w:rsidR="00BF0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AE200" w14:textId="5331CCD9" w:rsidR="001152D4" w:rsidRPr="00BC30DE" w:rsidRDefault="000A604F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1152D4" w:rsidRPr="00BC30DE">
        <w:rPr>
          <w:rFonts w:ascii="Times New Roman" w:hAnsi="Times New Roman" w:cs="Times New Roman"/>
          <w:b/>
          <w:sz w:val="24"/>
          <w:szCs w:val="24"/>
        </w:rPr>
        <w:t xml:space="preserve"> Kwota środków przekazanych przez podmiot uprawniony partnerowi </w:t>
      </w:r>
      <w:r w:rsidR="00BF0820">
        <w:rPr>
          <w:rFonts w:ascii="Times New Roman" w:hAnsi="Times New Roman" w:cs="Times New Roman"/>
          <w:b/>
          <w:sz w:val="24"/>
          <w:szCs w:val="24"/>
        </w:rPr>
        <w:t>KSOW</w:t>
      </w:r>
      <w:r w:rsidR="001152D4" w:rsidRPr="00BC3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b/>
          <w:sz w:val="24"/>
          <w:szCs w:val="24"/>
        </w:rPr>
        <w:br/>
      </w:r>
      <w:r w:rsidR="001152D4" w:rsidRPr="00BC30DE">
        <w:rPr>
          <w:rFonts w:ascii="Times New Roman" w:hAnsi="Times New Roman" w:cs="Times New Roman"/>
          <w:b/>
          <w:sz w:val="24"/>
          <w:szCs w:val="24"/>
        </w:rPr>
        <w:t xml:space="preserve">z tytułu realizacji operacji – jest kwalifikowalna, jeżeli została przeznaczona przez partnera KSOW na pokrycie: </w:t>
      </w:r>
    </w:p>
    <w:p w14:paraId="007CEE99" w14:textId="1680CCC6" w:rsidR="001152D4" w:rsidRPr="008E0135" w:rsidRDefault="00B46C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35">
        <w:rPr>
          <w:rFonts w:ascii="Times New Roman" w:eastAsia="Calibri" w:hAnsi="Times New Roman" w:cs="Times New Roman"/>
          <w:sz w:val="24"/>
          <w:szCs w:val="24"/>
        </w:rPr>
        <w:t>kosztów dostaw i usług</w:t>
      </w:r>
      <w:r w:rsidR="00BF0820">
        <w:rPr>
          <w:rFonts w:ascii="Times New Roman" w:eastAsia="Calibri" w:hAnsi="Times New Roman" w:cs="Times New Roman"/>
          <w:sz w:val="24"/>
          <w:szCs w:val="24"/>
        </w:rPr>
        <w:t>,</w:t>
      </w:r>
      <w:r w:rsidRPr="008E0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04F" w:rsidRPr="008E0135">
        <w:rPr>
          <w:rFonts w:ascii="Times New Roman" w:eastAsia="Calibri" w:hAnsi="Times New Roman" w:cs="Times New Roman"/>
          <w:sz w:val="24"/>
          <w:szCs w:val="24"/>
        </w:rPr>
        <w:t>w tym wynagrodzeń bezosobowych</w:t>
      </w:r>
      <w:r w:rsidR="008C2CB3" w:rsidRPr="008E01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B9E5C8" w14:textId="3FE3617F" w:rsidR="00050530" w:rsidRPr="008E0135" w:rsidRDefault="00A731C2" w:rsidP="00BF328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35">
        <w:rPr>
          <w:rFonts w:ascii="Times New Roman" w:hAnsi="Times New Roman" w:cs="Times New Roman"/>
          <w:sz w:val="24"/>
          <w:szCs w:val="24"/>
        </w:rPr>
        <w:t xml:space="preserve">koszty wyżywienia (np. catering lub zakup artykułów spożywczych) </w:t>
      </w:r>
      <w:r w:rsidR="00F5497E" w:rsidRPr="008E0135">
        <w:rPr>
          <w:rFonts w:ascii="Times New Roman" w:hAnsi="Times New Roman" w:cs="Times New Roman"/>
          <w:sz w:val="24"/>
          <w:szCs w:val="24"/>
        </w:rPr>
        <w:t xml:space="preserve">niezbędne </w:t>
      </w:r>
      <w:r w:rsidRPr="008E0135">
        <w:rPr>
          <w:rFonts w:ascii="Times New Roman" w:hAnsi="Times New Roman" w:cs="Times New Roman"/>
          <w:sz w:val="24"/>
          <w:szCs w:val="24"/>
        </w:rPr>
        <w:t xml:space="preserve">do przygotowania poczęstunku w przypadku organizowania szkoleń, konferencji, spotkań </w:t>
      </w:r>
      <w:r w:rsidR="000D0CC2" w:rsidRPr="008E0135">
        <w:rPr>
          <w:rFonts w:ascii="Times New Roman" w:hAnsi="Times New Roman" w:cs="Times New Roman"/>
          <w:sz w:val="24"/>
          <w:szCs w:val="24"/>
        </w:rPr>
        <w:t xml:space="preserve"> itp</w:t>
      </w:r>
      <w:r w:rsidRPr="008E0135">
        <w:rPr>
          <w:rFonts w:ascii="Times New Roman" w:hAnsi="Times New Roman" w:cs="Times New Roman"/>
          <w:sz w:val="24"/>
          <w:szCs w:val="24"/>
        </w:rPr>
        <w:t>. W przypadku gdy faktyczna liczba uczestników, która wzięła udział 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Pr="008E0135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3B745B">
        <w:rPr>
          <w:rFonts w:ascii="Times New Roman" w:hAnsi="Times New Roman" w:cs="Times New Roman"/>
          <w:sz w:val="24"/>
          <w:szCs w:val="24"/>
        </w:rPr>
        <w:t>teringowej w całości wynikający</w:t>
      </w:r>
      <w:r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8E0135">
        <w:rPr>
          <w:rFonts w:ascii="Times New Roman" w:hAnsi="Times New Roman" w:cs="Times New Roman"/>
          <w:sz w:val="24"/>
          <w:szCs w:val="24"/>
        </w:rPr>
        <w:t>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Pr="008E0135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Pr="008E0135">
        <w:rPr>
          <w:rFonts w:ascii="Times New Roman" w:hAnsi="Times New Roman" w:cs="Times New Roman"/>
          <w:sz w:val="24"/>
          <w:szCs w:val="24"/>
        </w:rPr>
        <w:t>% (wyno</w:t>
      </w:r>
      <w:r w:rsidR="00300E2D" w:rsidRPr="008E0135">
        <w:rPr>
          <w:rFonts w:ascii="Times New Roman" w:hAnsi="Times New Roman" w:cs="Times New Roman"/>
          <w:sz w:val="24"/>
          <w:szCs w:val="24"/>
        </w:rPr>
        <w:t>si 13</w:t>
      </w:r>
      <w:r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8E0135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jest kwalifikowalny w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100%. </w:t>
      </w:r>
      <w:r w:rsidR="00050530" w:rsidRPr="008E0135">
        <w:rPr>
          <w:rFonts w:ascii="Times New Roman" w:hAnsi="Times New Roman" w:cs="Times New Roman"/>
          <w:sz w:val="24"/>
          <w:szCs w:val="24"/>
        </w:rPr>
        <w:t>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050530" w:rsidRPr="008E0135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BF0820">
        <w:rPr>
          <w:rFonts w:ascii="Times New Roman" w:hAnsi="Times New Roman" w:cs="Times New Roman"/>
          <w:sz w:val="24"/>
          <w:szCs w:val="24"/>
        </w:rPr>
        <w:t>y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83</w:t>
      </w:r>
      <w:r w:rsidR="003B745B">
        <w:rPr>
          <w:rFonts w:ascii="Times New Roman" w:hAnsi="Times New Roman" w:cs="Times New Roman"/>
          <w:sz w:val="24"/>
          <w:szCs w:val="24"/>
        </w:rPr>
        <w:t xml:space="preserve"> osoby.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300E2D" w:rsidRPr="008E0135">
        <w:rPr>
          <w:rFonts w:ascii="Times New Roman" w:hAnsi="Times New Roman" w:cs="Times New Roman"/>
          <w:sz w:val="24"/>
          <w:szCs w:val="24"/>
        </w:rPr>
        <w:t>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BF0820">
        <w:rPr>
          <w:rFonts w:ascii="Times New Roman" w:hAnsi="Times New Roman" w:cs="Times New Roman"/>
          <w:sz w:val="24"/>
          <w:szCs w:val="24"/>
        </w:rPr>
        <w:t>d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50530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50530" w:rsidRPr="008E0135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55E4A9F4" w14:textId="5DB54058" w:rsidR="00050530" w:rsidRPr="008E0135" w:rsidRDefault="001152D4" w:rsidP="00BF328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E0135">
        <w:rPr>
          <w:rFonts w:ascii="Times New Roman" w:eastAsia="Calibri" w:hAnsi="Times New Roman" w:cs="Times New Roman"/>
          <w:sz w:val="24"/>
          <w:szCs w:val="24"/>
        </w:rPr>
        <w:t xml:space="preserve">kosztów </w:t>
      </w:r>
      <w:r w:rsidR="00BF0820" w:rsidRPr="00BF0820">
        <w:rPr>
          <w:rFonts w:ascii="Times New Roman" w:eastAsia="Calibri" w:hAnsi="Times New Roman" w:cs="Times New Roman"/>
          <w:sz w:val="24"/>
          <w:szCs w:val="24"/>
        </w:rPr>
        <w:t>podróży służbowych pracowników partnera KSOW, w tym diet wypłaconych temu pracownikowi z tytułu podróży służbowej,</w:t>
      </w:r>
      <w:r w:rsidR="00BF0820">
        <w:rPr>
          <w:rFonts w:ascii="Times New Roman" w:eastAsia="Calibri" w:hAnsi="Times New Roman" w:cs="Times New Roman"/>
          <w:sz w:val="24"/>
          <w:szCs w:val="24"/>
        </w:rPr>
        <w:t xml:space="preserve"> a także</w:t>
      </w:r>
      <w:r w:rsidR="00BF0820" w:rsidRPr="00B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135">
        <w:rPr>
          <w:rFonts w:ascii="Times New Roman" w:eastAsia="Calibri" w:hAnsi="Times New Roman" w:cs="Times New Roman"/>
          <w:sz w:val="24"/>
          <w:szCs w:val="24"/>
        </w:rPr>
        <w:t>przejazdów, dojazdów środkami komunikacji miejscowej i noclegó</w:t>
      </w:r>
      <w:r w:rsidR="008C2CB3" w:rsidRPr="008E0135">
        <w:rPr>
          <w:rFonts w:ascii="Times New Roman" w:eastAsia="Calibri" w:hAnsi="Times New Roman" w:cs="Times New Roman"/>
          <w:sz w:val="24"/>
          <w:szCs w:val="24"/>
        </w:rPr>
        <w:t>w poniesionych przez</w:t>
      </w:r>
      <w:r w:rsidR="00BF0820">
        <w:rPr>
          <w:rFonts w:ascii="Times New Roman" w:eastAsia="Calibri" w:hAnsi="Times New Roman" w:cs="Times New Roman"/>
          <w:sz w:val="24"/>
          <w:szCs w:val="24"/>
        </w:rPr>
        <w:t xml:space="preserve"> inne</w:t>
      </w:r>
      <w:r w:rsidR="008C2CB3" w:rsidRPr="008E0135">
        <w:rPr>
          <w:rFonts w:ascii="Times New Roman" w:eastAsia="Calibri" w:hAnsi="Times New Roman" w:cs="Times New Roman"/>
          <w:sz w:val="24"/>
          <w:szCs w:val="24"/>
        </w:rPr>
        <w:t xml:space="preserve"> osoby </w:t>
      </w:r>
      <w:r w:rsidR="000A604F" w:rsidRPr="008E0135">
        <w:rPr>
          <w:rFonts w:ascii="Times New Roman" w:eastAsia="Calibri" w:hAnsi="Times New Roman" w:cs="Times New Roman"/>
          <w:sz w:val="24"/>
          <w:szCs w:val="24"/>
        </w:rPr>
        <w:t xml:space="preserve">w związku z realizacją </w:t>
      </w:r>
      <w:r w:rsidRPr="008E0135">
        <w:rPr>
          <w:rFonts w:ascii="Times New Roman" w:eastAsia="Calibri" w:hAnsi="Times New Roman" w:cs="Times New Roman"/>
          <w:sz w:val="24"/>
          <w:szCs w:val="24"/>
        </w:rPr>
        <w:t>operacji</w:t>
      </w:r>
      <w:r w:rsidR="00485BD9" w:rsidRPr="008E01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31C2" w:rsidRPr="008E0135">
        <w:rPr>
          <w:rFonts w:ascii="Times New Roman" w:hAnsi="Times New Roman" w:cs="Times New Roman"/>
          <w:sz w:val="24"/>
          <w:szCs w:val="24"/>
        </w:rPr>
        <w:t>W przypadku gdy faktyczna liczba uczestników, która została zgłoszona do korzystania z usługi noclegu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% liczby uczestników deklarujących swój udział (przy dochowaniu należytej staranności przez organizatora wydarzenia na etapie jego planowania i rekrutacji uczestników), wówczas za koszt kwalifikowalny uznaje się koszt usługi </w:t>
      </w:r>
      <w:r w:rsidR="00501571">
        <w:rPr>
          <w:rFonts w:ascii="Times New Roman" w:hAnsi="Times New Roman" w:cs="Times New Roman"/>
          <w:sz w:val="24"/>
          <w:szCs w:val="24"/>
        </w:rPr>
        <w:t>noclegowej w całości wynikający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8E0135">
        <w:rPr>
          <w:rFonts w:ascii="Times New Roman" w:hAnsi="Times New Roman" w:cs="Times New Roman"/>
          <w:sz w:val="24"/>
          <w:szCs w:val="24"/>
        </w:rPr>
        <w:t>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</w:t>
      </w:r>
      <w:r w:rsidR="00300E2D" w:rsidRPr="008E0135">
        <w:rPr>
          <w:rFonts w:ascii="Times New Roman" w:hAnsi="Times New Roman" w:cs="Times New Roman"/>
          <w:sz w:val="24"/>
          <w:szCs w:val="24"/>
        </w:rPr>
        <w:lastRenderedPageBreak/>
        <w:t>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. Zatem faktyczna liczba uczestników, która nie wzięła udziału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A731C2" w:rsidRPr="008E0135">
        <w:rPr>
          <w:rFonts w:ascii="Times New Roman" w:hAnsi="Times New Roman" w:cs="Times New Roman"/>
          <w:sz w:val="24"/>
          <w:szCs w:val="24"/>
        </w:rPr>
        <w:t>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jest kwalifikowalny w 100%.).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2</w:t>
      </w:r>
      <w:r w:rsidR="00027DC0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8E0135">
        <w:rPr>
          <w:rFonts w:ascii="Times New Roman" w:hAnsi="Times New Roman" w:cs="Times New Roman"/>
          <w:sz w:val="24"/>
          <w:szCs w:val="24"/>
        </w:rPr>
        <w:t>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BF0820">
        <w:rPr>
          <w:rFonts w:ascii="Times New Roman" w:hAnsi="Times New Roman" w:cs="Times New Roman"/>
          <w:sz w:val="24"/>
          <w:szCs w:val="24"/>
        </w:rPr>
        <w:t>y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BF0820">
        <w:rPr>
          <w:rFonts w:ascii="Times New Roman" w:hAnsi="Times New Roman" w:cs="Times New Roman"/>
          <w:sz w:val="24"/>
          <w:szCs w:val="24"/>
        </w:rPr>
        <w:t>d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27DC0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27DC0" w:rsidRPr="008E0135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711DC756" w14:textId="66E798BE" w:rsidR="009E6303" w:rsidRDefault="003A7F12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kosztów tzw. 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>zużywaln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 xml:space="preserve"> (jednorazow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3954DD">
        <w:rPr>
          <w:rFonts w:ascii="Times New Roman" w:eastAsia="Calibri" w:hAnsi="Times New Roman" w:cs="Times New Roman"/>
          <w:sz w:val="24"/>
          <w:szCs w:val="24"/>
        </w:rPr>
        <w:t>)</w:t>
      </w:r>
      <w:r w:rsidR="00BF0820">
        <w:rPr>
          <w:rFonts w:ascii="Times New Roman" w:eastAsia="Calibri" w:hAnsi="Times New Roman" w:cs="Times New Roman"/>
          <w:sz w:val="24"/>
          <w:szCs w:val="24"/>
        </w:rPr>
        <w:t xml:space="preserve"> materiałów</w:t>
      </w:r>
      <w:r w:rsidR="003954DD">
        <w:rPr>
          <w:rFonts w:ascii="Times New Roman" w:eastAsia="Calibri" w:hAnsi="Times New Roman" w:cs="Times New Roman"/>
          <w:sz w:val="24"/>
          <w:szCs w:val="24"/>
        </w:rPr>
        <w:t xml:space="preserve"> np. ubrań ochronnych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>, odczynnik</w:t>
      </w:r>
      <w:r w:rsidR="003954DD">
        <w:rPr>
          <w:rFonts w:ascii="Times New Roman" w:eastAsia="Calibri" w:hAnsi="Times New Roman" w:cs="Times New Roman"/>
          <w:sz w:val="24"/>
          <w:szCs w:val="24"/>
        </w:rPr>
        <w:t>ów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 xml:space="preserve"> do przeprowadzenia badania podczas warsztatów </w:t>
      </w:r>
      <w:r w:rsidR="00F313DF">
        <w:rPr>
          <w:rFonts w:ascii="Times New Roman" w:eastAsia="Calibri" w:hAnsi="Times New Roman" w:cs="Times New Roman"/>
          <w:sz w:val="24"/>
          <w:szCs w:val="24"/>
        </w:rPr>
        <w:t>itp.</w:t>
      </w:r>
      <w:r w:rsidR="008B4C74">
        <w:rPr>
          <w:rFonts w:ascii="Times New Roman" w:eastAsia="Calibri" w:hAnsi="Times New Roman" w:cs="Times New Roman"/>
          <w:sz w:val="24"/>
          <w:szCs w:val="24"/>
        </w:rPr>
        <w:t>;</w:t>
      </w:r>
      <w:r w:rsidR="008B4C74" w:rsidDel="008B4C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751412" w14:textId="5F62C1EB" w:rsidR="0058691D" w:rsidRPr="00E80FB1" w:rsidRDefault="00F313DF" w:rsidP="00E80FB1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3DF">
        <w:rPr>
          <w:rFonts w:ascii="Times New Roman" w:eastAsia="Calibri" w:hAnsi="Times New Roman" w:cs="Times New Roman"/>
          <w:sz w:val="24"/>
          <w:szCs w:val="24"/>
        </w:rPr>
        <w:t xml:space="preserve">koszty utrzymania </w:t>
      </w:r>
      <w:proofErr w:type="spellStart"/>
      <w:r w:rsidRPr="00F313DF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="00863C0F">
        <w:rPr>
          <w:rFonts w:ascii="Times New Roman" w:eastAsia="Calibri" w:hAnsi="Times New Roman" w:cs="Times New Roman"/>
          <w:sz w:val="24"/>
          <w:szCs w:val="24"/>
        </w:rPr>
        <w:t>, do których</w:t>
      </w:r>
      <w:r w:rsidRPr="00F313DF">
        <w:rPr>
          <w:rFonts w:ascii="Times New Roman" w:eastAsia="Calibri" w:hAnsi="Times New Roman" w:cs="Times New Roman"/>
          <w:sz w:val="24"/>
          <w:szCs w:val="24"/>
        </w:rPr>
        <w:t xml:space="preserve"> można zaliczyć koszty: centralnego ogrzewania, energii elektrycznej, dostarczenia wody i odprowadzenia ścieków, sprzątania</w:t>
      </w:r>
      <w:r w:rsidR="0062224C">
        <w:rPr>
          <w:rFonts w:ascii="Times New Roman" w:eastAsia="Calibri" w:hAnsi="Times New Roman" w:cs="Times New Roman"/>
          <w:sz w:val="24"/>
          <w:szCs w:val="24"/>
        </w:rPr>
        <w:t xml:space="preserve"> pomieszczeń i ochrony obiektu </w:t>
      </w:r>
      <w:r w:rsidR="00F35D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2224C">
        <w:rPr>
          <w:rFonts w:ascii="Times New Roman" w:eastAsia="Calibri" w:hAnsi="Times New Roman" w:cs="Times New Roman"/>
          <w:sz w:val="24"/>
          <w:szCs w:val="24"/>
        </w:rPr>
        <w:t>k</w:t>
      </w:r>
      <w:r w:rsidRPr="00F313DF">
        <w:rPr>
          <w:rFonts w:ascii="Times New Roman" w:eastAsia="Calibri" w:hAnsi="Times New Roman" w:cs="Times New Roman"/>
          <w:sz w:val="24"/>
          <w:szCs w:val="24"/>
        </w:rPr>
        <w:t>oszt udokumentowany rachunkiem wewnętrznym nie jest kwalifikowalny</w:t>
      </w:r>
      <w:r w:rsidR="005869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8FCAB0" w14:textId="77777777" w:rsidR="001152D4" w:rsidRPr="008C2CB3" w:rsidRDefault="001152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C2CB3">
        <w:rPr>
          <w:rFonts w:ascii="Times New Roman" w:eastAsia="Calibri" w:hAnsi="Times New Roman" w:cs="Times New Roman"/>
          <w:sz w:val="24"/>
          <w:szCs w:val="24"/>
        </w:rPr>
        <w:t>kosztów</w:t>
      </w:r>
      <w:r w:rsidRPr="008C2CB3">
        <w:rPr>
          <w:rFonts w:ascii="Times New Roman" w:hAnsi="Times New Roman" w:cs="Times New Roman"/>
          <w:sz w:val="24"/>
          <w:szCs w:val="24"/>
        </w:rPr>
        <w:t xml:space="preserve"> nagród </w:t>
      </w:r>
      <w:r w:rsidR="000A604F">
        <w:rPr>
          <w:rFonts w:ascii="Times New Roman" w:hAnsi="Times New Roman" w:cs="Times New Roman"/>
          <w:sz w:val="24"/>
          <w:szCs w:val="24"/>
        </w:rPr>
        <w:t>finansowych</w:t>
      </w:r>
      <w:r w:rsidR="003C770E" w:rsidRPr="008C2CB3">
        <w:rPr>
          <w:rFonts w:ascii="Times New Roman" w:hAnsi="Times New Roman" w:cs="Times New Roman"/>
          <w:sz w:val="24"/>
          <w:szCs w:val="24"/>
        </w:rPr>
        <w:t xml:space="preserve"> </w:t>
      </w:r>
      <w:r w:rsidRPr="008C2CB3">
        <w:rPr>
          <w:rFonts w:ascii="Times New Roman" w:hAnsi="Times New Roman" w:cs="Times New Roman"/>
          <w:sz w:val="24"/>
          <w:szCs w:val="24"/>
        </w:rPr>
        <w:t>dla laureatów konkursów.</w:t>
      </w:r>
    </w:p>
    <w:p w14:paraId="035F74BE" w14:textId="77777777" w:rsidR="00795381" w:rsidRDefault="001152D4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C2CB3">
        <w:rPr>
          <w:rFonts w:ascii="Times New Roman" w:hAnsi="Times New Roman" w:cs="Times New Roman"/>
          <w:sz w:val="24"/>
          <w:szCs w:val="24"/>
        </w:rPr>
        <w:t>Koszty te muszą być uzasadnione zakresem operacji i niezbędne do osiągnięcia jej celu oraz racjonalne.</w:t>
      </w:r>
    </w:p>
    <w:p w14:paraId="000E5659" w14:textId="54BD28B4" w:rsidR="00FF544C" w:rsidRPr="008C2CB3" w:rsidRDefault="00FF544C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kosztów kwalifikowalnych nie można jednak zaliczyć kosztów</w:t>
      </w:r>
      <w:r w:rsidR="00F35D8B">
        <w:rPr>
          <w:rFonts w:ascii="Times New Roman" w:hAnsi="Times New Roman" w:cs="Times New Roman"/>
          <w:sz w:val="24"/>
          <w:szCs w:val="24"/>
        </w:rPr>
        <w:t xml:space="preserve"> zakupu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4C">
        <w:rPr>
          <w:rFonts w:ascii="Times New Roman" w:hAnsi="Times New Roman" w:cs="Times New Roman"/>
          <w:sz w:val="24"/>
          <w:szCs w:val="24"/>
        </w:rPr>
        <w:t xml:space="preserve">materiałów/sprzętów, </w:t>
      </w:r>
      <w:r w:rsidR="00F35D8B" w:rsidRPr="00FF544C">
        <w:rPr>
          <w:rFonts w:ascii="Times New Roman" w:hAnsi="Times New Roman" w:cs="Times New Roman"/>
          <w:sz w:val="24"/>
          <w:szCs w:val="24"/>
        </w:rPr>
        <w:t>niezależnie od</w:t>
      </w:r>
      <w:r w:rsidR="00F35D8B">
        <w:rPr>
          <w:rFonts w:ascii="Times New Roman" w:hAnsi="Times New Roman" w:cs="Times New Roman"/>
          <w:sz w:val="24"/>
          <w:szCs w:val="24"/>
        </w:rPr>
        <w:t xml:space="preserve"> ich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wartości</w:t>
      </w:r>
      <w:r w:rsidR="00F35D8B">
        <w:rPr>
          <w:rFonts w:ascii="Times New Roman" w:hAnsi="Times New Roman" w:cs="Times New Roman"/>
          <w:sz w:val="24"/>
          <w:szCs w:val="24"/>
        </w:rPr>
        <w:t>,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</w:t>
      </w:r>
      <w:r w:rsidR="00F35D8B">
        <w:rPr>
          <w:rFonts w:ascii="Times New Roman" w:hAnsi="Times New Roman" w:cs="Times New Roman"/>
          <w:sz w:val="24"/>
          <w:szCs w:val="24"/>
        </w:rPr>
        <w:t>jeżeli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pozostają</w:t>
      </w:r>
      <w:r w:rsidR="00F35D8B">
        <w:rPr>
          <w:rFonts w:ascii="Times New Roman" w:hAnsi="Times New Roman" w:cs="Times New Roman"/>
          <w:sz w:val="24"/>
          <w:szCs w:val="24"/>
        </w:rPr>
        <w:t xml:space="preserve"> w posiadaniu partnera KSOW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</w:t>
      </w:r>
      <w:r w:rsidRPr="00FF544C">
        <w:rPr>
          <w:rFonts w:ascii="Times New Roman" w:hAnsi="Times New Roman" w:cs="Times New Roman"/>
          <w:sz w:val="24"/>
          <w:szCs w:val="24"/>
        </w:rPr>
        <w:t>po przeprowadzeniu operacji i mogłyby stanowić</w:t>
      </w:r>
      <w:r w:rsidR="00F35D8B">
        <w:rPr>
          <w:rFonts w:ascii="Times New Roman" w:hAnsi="Times New Roman" w:cs="Times New Roman"/>
          <w:sz w:val="24"/>
          <w:szCs w:val="24"/>
        </w:rPr>
        <w:t xml:space="preserve"> jego</w:t>
      </w:r>
      <w:r w:rsidRPr="00FF544C">
        <w:rPr>
          <w:rFonts w:ascii="Times New Roman" w:hAnsi="Times New Roman" w:cs="Times New Roman"/>
          <w:sz w:val="24"/>
          <w:szCs w:val="24"/>
        </w:rPr>
        <w:t xml:space="preserve"> majątek</w:t>
      </w:r>
      <w:r w:rsidR="008B4C74">
        <w:rPr>
          <w:rFonts w:ascii="Times New Roman" w:hAnsi="Times New Roman" w:cs="Times New Roman"/>
          <w:sz w:val="24"/>
          <w:szCs w:val="24"/>
        </w:rPr>
        <w:t>.</w:t>
      </w:r>
    </w:p>
    <w:p w14:paraId="41134616" w14:textId="77777777" w:rsidR="00795381" w:rsidRPr="002C3D3F" w:rsidRDefault="00795381" w:rsidP="0079538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84D9" w14:textId="77777777" w:rsidR="001152D4" w:rsidRPr="002B216E" w:rsidRDefault="001152D4" w:rsidP="001A2C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6E">
        <w:rPr>
          <w:rFonts w:ascii="Times New Roman" w:hAnsi="Times New Roman" w:cs="Times New Roman"/>
          <w:b/>
          <w:sz w:val="24"/>
          <w:szCs w:val="24"/>
        </w:rPr>
        <w:t>Koszty podlegające refundacji w ramach schematu II d</w:t>
      </w:r>
      <w:r w:rsidRPr="002B216E">
        <w:rPr>
          <w:rFonts w:ascii="Times New Roman" w:hAnsi="Times New Roman" w:cs="Times New Roman"/>
          <w:b/>
          <w:bCs/>
          <w:sz w:val="24"/>
          <w:szCs w:val="24"/>
        </w:rPr>
        <w:t>la działania 8 – Plan komunikacyjny PROW 2014-2020</w:t>
      </w:r>
    </w:p>
    <w:p w14:paraId="60194B8D" w14:textId="77777777" w:rsidR="001152D4" w:rsidRPr="004B7EA3" w:rsidRDefault="000C14A0" w:rsidP="00D9252E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EA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2671E3" w:rsidRPr="00704340">
        <w:rPr>
          <w:rFonts w:ascii="Times New Roman" w:hAnsi="Times New Roman" w:cs="Times New Roman"/>
          <w:b/>
          <w:sz w:val="24"/>
          <w:szCs w:val="24"/>
        </w:rPr>
        <w:t>Koszty dostaw i usług obejmują</w:t>
      </w:r>
      <w:r w:rsidRPr="00704340">
        <w:rPr>
          <w:rFonts w:ascii="Times New Roman" w:hAnsi="Times New Roman" w:cs="Times New Roman"/>
          <w:b/>
          <w:sz w:val="24"/>
          <w:szCs w:val="24"/>
        </w:rPr>
        <w:t xml:space="preserve"> w szczególności:</w:t>
      </w:r>
    </w:p>
    <w:p w14:paraId="45744E71" w14:textId="684D9F37" w:rsidR="001152D4" w:rsidRDefault="00125A6F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</w:t>
      </w:r>
      <w:r w:rsidR="001152D4" w:rsidRPr="00125A6F">
        <w:rPr>
          <w:rFonts w:ascii="Times New Roman" w:hAnsi="Times New Roman" w:cs="Times New Roman"/>
          <w:sz w:val="24"/>
          <w:szCs w:val="24"/>
        </w:rPr>
        <w:t>oszty przygotowania, druku i dystrybucji publikacji (foldery, ulotki, broszury itp.);</w:t>
      </w:r>
    </w:p>
    <w:p w14:paraId="19F2264F" w14:textId="74360A42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koszty przygotowania, zamieszczenia i dystrybucji materiału informacyjnego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25A6F">
        <w:rPr>
          <w:rFonts w:ascii="Times New Roman" w:hAnsi="Times New Roman" w:cs="Times New Roman"/>
          <w:sz w:val="24"/>
          <w:szCs w:val="24"/>
        </w:rPr>
        <w:t>w prasie (artykuł) np. koszty opracowania graficznego i przygotowania do druku oraz zamieszczenia artykułu w prasie (dziennik, tygodnik, miesięcznik itp.);</w:t>
      </w:r>
    </w:p>
    <w:p w14:paraId="79B475B2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koszty przygotowania i emisji materiału informacyjnego w </w:t>
      </w:r>
      <w:proofErr w:type="spellStart"/>
      <w:r w:rsidR="004B7EA3">
        <w:rPr>
          <w:rFonts w:ascii="Times New Roman" w:hAnsi="Times New Roman" w:cs="Times New Roman"/>
          <w:sz w:val="24"/>
          <w:szCs w:val="24"/>
        </w:rPr>
        <w:t>inter</w:t>
      </w:r>
      <w:r w:rsidR="004B7EA3" w:rsidRPr="00125A6F">
        <w:rPr>
          <w:rFonts w:ascii="Times New Roman" w:hAnsi="Times New Roman" w:cs="Times New Roman"/>
          <w:sz w:val="24"/>
          <w:szCs w:val="24"/>
        </w:rPr>
        <w:t>necie</w:t>
      </w:r>
      <w:proofErr w:type="spellEnd"/>
      <w:r w:rsidRPr="00125A6F">
        <w:rPr>
          <w:rFonts w:ascii="Times New Roman" w:hAnsi="Times New Roman" w:cs="Times New Roman"/>
          <w:sz w:val="24"/>
          <w:szCs w:val="24"/>
        </w:rPr>
        <w:t xml:space="preserve"> (np. artykuł) np. koszty opracowania graficznego, przygotowania do emisji i emisja na stronie portalu internetowego;</w:t>
      </w:r>
    </w:p>
    <w:p w14:paraId="1B141511" w14:textId="1FA96FAE" w:rsidR="001152D4" w:rsidRPr="00125A6F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koszty przygotowania i dystrybucji materiału informacyjnego na konkurs, imprezę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25A6F">
        <w:rPr>
          <w:rFonts w:ascii="Times New Roman" w:hAnsi="Times New Roman" w:cs="Times New Roman"/>
          <w:sz w:val="24"/>
          <w:szCs w:val="24"/>
        </w:rPr>
        <w:t xml:space="preserve">o charakterze rolniczym np. koszt opracowania graficznego i przygotowania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25A6F">
        <w:rPr>
          <w:rFonts w:ascii="Times New Roman" w:hAnsi="Times New Roman" w:cs="Times New Roman"/>
          <w:sz w:val="24"/>
          <w:szCs w:val="24"/>
        </w:rPr>
        <w:t>do druku, druku i dystrybucji podczas konkursu/imprezy;</w:t>
      </w:r>
      <w:r w:rsidRPr="000C1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8FA20" w14:textId="01C0AF0E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przygotowania i dystrybucji materiału w mediach (film, reklama, reportaż, audycja, felieton, program) np. koszty opracowania scenariusza, nagrania materiału zdjęciowego, montaż, emisja, dostarczenie do zamawiającego materiału w wersji umożliwiającej emisję w telewizji</w:t>
      </w:r>
      <w:r w:rsidR="00F35D8B">
        <w:rPr>
          <w:rFonts w:ascii="Times New Roman" w:hAnsi="Times New Roman" w:cs="Times New Roman"/>
          <w:sz w:val="24"/>
          <w:szCs w:val="24"/>
        </w:rPr>
        <w:t xml:space="preserve"> i</w:t>
      </w:r>
      <w:r w:rsidRPr="00125A6F">
        <w:rPr>
          <w:rFonts w:ascii="Times New Roman" w:hAnsi="Times New Roman" w:cs="Times New Roman"/>
          <w:sz w:val="24"/>
          <w:szCs w:val="24"/>
        </w:rPr>
        <w:t xml:space="preserve"> na portalach internetowych;</w:t>
      </w:r>
    </w:p>
    <w:p w14:paraId="78208C5E" w14:textId="58084FD3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lastRenderedPageBreak/>
        <w:t>koszty przygotowania i dystrybucji materiału informacyjnego radiowego (audycja, program, reportaż) np. koszty opracowania scenariusza, nagrania materiału, montaż, emisja, dostarczenie do zamawiającego materiału w wersji umożliwiającej emisję w mediach;</w:t>
      </w:r>
    </w:p>
    <w:p w14:paraId="13B5DDF9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graficznego przygotowania i druku prezentacji, materiałów szkoleniowych/ konferencyjnych, ankiet;</w:t>
      </w:r>
    </w:p>
    <w:p w14:paraId="43115B9E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rekrutacji uczestników konferencji, spotkań, szkoleń, warsztatów</w:t>
      </w:r>
      <w:r w:rsidR="00125A6F">
        <w:rPr>
          <w:rFonts w:ascii="Times New Roman" w:hAnsi="Times New Roman" w:cs="Times New Roman"/>
          <w:sz w:val="24"/>
          <w:szCs w:val="24"/>
        </w:rPr>
        <w:t xml:space="preserve">, </w:t>
      </w:r>
      <w:r w:rsidRPr="00125A6F">
        <w:rPr>
          <w:rFonts w:ascii="Times New Roman" w:hAnsi="Times New Roman" w:cs="Times New Roman"/>
          <w:sz w:val="24"/>
          <w:szCs w:val="24"/>
        </w:rPr>
        <w:t>seminariów dla beneficjentów i potencjalnych beneficjentów Programu;</w:t>
      </w:r>
    </w:p>
    <w:p w14:paraId="0BF4A527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usług pocztowych oraz kurierskich;</w:t>
      </w:r>
    </w:p>
    <w:p w14:paraId="43707A19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</w:t>
      </w:r>
      <w:r w:rsidR="00B46CD4" w:rsidRPr="00125A6F">
        <w:rPr>
          <w:rFonts w:ascii="Times New Roman" w:hAnsi="Times New Roman" w:cs="Times New Roman"/>
          <w:sz w:val="24"/>
          <w:szCs w:val="24"/>
        </w:rPr>
        <w:t>y</w:t>
      </w:r>
      <w:r w:rsidRPr="00125A6F">
        <w:rPr>
          <w:rFonts w:ascii="Times New Roman" w:hAnsi="Times New Roman" w:cs="Times New Roman"/>
          <w:sz w:val="24"/>
          <w:szCs w:val="24"/>
        </w:rPr>
        <w:t xml:space="preserve"> tłumaczenia;</w:t>
      </w:r>
    </w:p>
    <w:p w14:paraId="4D08DC03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usług kserograficznych;</w:t>
      </w:r>
    </w:p>
    <w:p w14:paraId="67ED2B24" w14:textId="34B1C7CE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wynajęcie </w:t>
      </w:r>
      <w:proofErr w:type="spellStart"/>
      <w:r w:rsidRPr="00125A6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125A6F">
        <w:rPr>
          <w:rFonts w:ascii="Times New Roman" w:hAnsi="Times New Roman" w:cs="Times New Roman"/>
          <w:sz w:val="24"/>
          <w:szCs w:val="24"/>
        </w:rPr>
        <w:t>, sprzętu multimedialnego i nagłośnienia;</w:t>
      </w:r>
    </w:p>
    <w:p w14:paraId="31B61866" w14:textId="69FC4DBF" w:rsidR="00027DC0" w:rsidRPr="002943E9" w:rsidRDefault="001152D4" w:rsidP="00BF328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9">
        <w:rPr>
          <w:rFonts w:ascii="Times New Roman" w:hAnsi="Times New Roman" w:cs="Times New Roman"/>
          <w:sz w:val="24"/>
          <w:szCs w:val="24"/>
        </w:rPr>
        <w:t>koszty wyżywienia uczestników konferencji, spotkań, szkoleń, warsztatów</w:t>
      </w:r>
      <w:r w:rsidR="001A16A7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1A16A7">
        <w:rPr>
          <w:rFonts w:ascii="Times New Roman" w:hAnsi="Times New Roman" w:cs="Times New Roman"/>
          <w:sz w:val="24"/>
          <w:szCs w:val="24"/>
        </w:rPr>
        <w:t>i</w:t>
      </w:r>
      <w:r w:rsidRPr="002943E9">
        <w:rPr>
          <w:rFonts w:ascii="Times New Roman" w:hAnsi="Times New Roman" w:cs="Times New Roman"/>
          <w:sz w:val="24"/>
          <w:szCs w:val="24"/>
        </w:rPr>
        <w:t xml:space="preserve"> seminariów dla beneficjentów i potencjalnych beneficjentów Programu</w:t>
      </w:r>
      <w:r w:rsidR="00501571">
        <w:rPr>
          <w:rFonts w:ascii="Times New Roman" w:hAnsi="Times New Roman" w:cs="Times New Roman"/>
          <w:sz w:val="24"/>
          <w:szCs w:val="24"/>
        </w:rPr>
        <w:t>.</w:t>
      </w:r>
      <w:r w:rsidR="00F46756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Koszty wyżywienia (np. catering lub zakup artykułów spożywczych) </w:t>
      </w:r>
      <w:r w:rsidR="00F5497E" w:rsidRPr="002943E9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do przygotowania poczęstunku w przypadku organizowania szkoleń, konferencji, spotkań, komitetów</w:t>
      </w:r>
      <w:r w:rsidR="000D0CC2" w:rsidRPr="002943E9">
        <w:rPr>
          <w:rFonts w:ascii="Times New Roman" w:hAnsi="Times New Roman" w:cs="Times New Roman"/>
          <w:sz w:val="24"/>
          <w:szCs w:val="24"/>
        </w:rPr>
        <w:t xml:space="preserve"> itp</w:t>
      </w:r>
      <w:r w:rsidR="00A731C2" w:rsidRPr="002943E9">
        <w:rPr>
          <w:rFonts w:ascii="Times New Roman" w:hAnsi="Times New Roman" w:cs="Times New Roman"/>
          <w:sz w:val="24"/>
          <w:szCs w:val="24"/>
        </w:rPr>
        <w:t>. W przypadku gdy faktyczna liczba uczestników, która wzięła udział 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jest </w:t>
      </w:r>
      <w:r w:rsidR="00300E2D" w:rsidRPr="002943E9">
        <w:rPr>
          <w:rFonts w:ascii="Times New Roman" w:hAnsi="Times New Roman" w:cs="Times New Roman"/>
          <w:sz w:val="24"/>
          <w:szCs w:val="24"/>
        </w:rPr>
        <w:t>mniejsza o nie więcej niż 15</w:t>
      </w:r>
      <w:r w:rsidR="00A731C2" w:rsidRPr="002943E9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501571">
        <w:rPr>
          <w:rFonts w:ascii="Times New Roman" w:hAnsi="Times New Roman" w:cs="Times New Roman"/>
          <w:sz w:val="24"/>
          <w:szCs w:val="24"/>
        </w:rPr>
        <w:t>teringowej w całości wynikający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2943E9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2943E9">
        <w:rPr>
          <w:rFonts w:ascii="Times New Roman" w:hAnsi="Times New Roman" w:cs="Times New Roman"/>
          <w:sz w:val="24"/>
          <w:szCs w:val="24"/>
        </w:rPr>
        <w:t>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</w:t>
      </w:r>
      <w:r w:rsidR="00A731C2" w:rsidRPr="002943E9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2943E9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jest kwalifikowalny w 100%.).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300E2D" w:rsidRPr="002943E9">
        <w:rPr>
          <w:rFonts w:ascii="Times New Roman" w:hAnsi="Times New Roman" w:cs="Times New Roman"/>
          <w:sz w:val="24"/>
          <w:szCs w:val="24"/>
        </w:rPr>
        <w:t>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2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W </w:t>
      </w:r>
      <w:r w:rsidR="00027DC0" w:rsidRPr="002943E9">
        <w:rPr>
          <w:rFonts w:ascii="Times New Roman" w:hAnsi="Times New Roman" w:cs="Times New Roman"/>
          <w:sz w:val="24"/>
          <w:szCs w:val="24"/>
        </w:rPr>
        <w:t>wydarzeniu udział zadeklarowało 100 o</w:t>
      </w:r>
      <w:r w:rsidR="00300E2D" w:rsidRPr="002943E9">
        <w:rPr>
          <w:rFonts w:ascii="Times New Roman" w:hAnsi="Times New Roman" w:cs="Times New Roman"/>
          <w:sz w:val="24"/>
          <w:szCs w:val="24"/>
        </w:rPr>
        <w:t>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1A16A7">
        <w:rPr>
          <w:rFonts w:ascii="Times New Roman" w:hAnsi="Times New Roman" w:cs="Times New Roman"/>
          <w:sz w:val="24"/>
          <w:szCs w:val="24"/>
        </w:rPr>
        <w:t>y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300E2D" w:rsidRPr="002943E9">
        <w:rPr>
          <w:rFonts w:ascii="Times New Roman" w:hAnsi="Times New Roman" w:cs="Times New Roman"/>
          <w:sz w:val="24"/>
          <w:szCs w:val="24"/>
        </w:rPr>
        <w:t>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1A16A7">
        <w:rPr>
          <w:rFonts w:ascii="Times New Roman" w:hAnsi="Times New Roman" w:cs="Times New Roman"/>
          <w:sz w:val="24"/>
          <w:szCs w:val="24"/>
        </w:rPr>
        <w:t>d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27DC0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027DC0" w:rsidRPr="002943E9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>(100 – 15 [dopuszczalny limit] – 8</w:t>
      </w:r>
      <w:r w:rsidR="00BF3285">
        <w:rPr>
          <w:rFonts w:ascii="Times New Roman" w:hAnsi="Times New Roman" w:cs="Times New Roman"/>
          <w:sz w:val="24"/>
          <w:szCs w:val="24"/>
        </w:rPr>
        <w:t>3)</w:t>
      </w:r>
      <w:r w:rsidR="002943E9" w:rsidRPr="002943E9">
        <w:rPr>
          <w:rFonts w:ascii="Times New Roman" w:hAnsi="Times New Roman" w:cs="Times New Roman"/>
          <w:sz w:val="24"/>
          <w:szCs w:val="24"/>
        </w:rPr>
        <w:t>);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3D9DB" w14:textId="46203147" w:rsidR="001152D4" w:rsidRPr="00027DC0" w:rsidRDefault="001152D4" w:rsidP="006C4DB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DC0">
        <w:rPr>
          <w:rFonts w:ascii="Times New Roman" w:hAnsi="Times New Roman" w:cs="Times New Roman"/>
          <w:sz w:val="24"/>
          <w:szCs w:val="24"/>
        </w:rPr>
        <w:t>koszty transportu uczestników konferencji, spotkań, szkoleń, warsztatów</w:t>
      </w:r>
      <w:r w:rsidR="001A16A7">
        <w:rPr>
          <w:rFonts w:ascii="Times New Roman" w:hAnsi="Times New Roman" w:cs="Times New Roman"/>
          <w:sz w:val="24"/>
          <w:szCs w:val="24"/>
        </w:rPr>
        <w:t xml:space="preserve">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1A16A7">
        <w:rPr>
          <w:rFonts w:ascii="Times New Roman" w:hAnsi="Times New Roman" w:cs="Times New Roman"/>
          <w:sz w:val="24"/>
          <w:szCs w:val="24"/>
        </w:rPr>
        <w:t>i</w:t>
      </w:r>
      <w:r w:rsidRPr="00027DC0">
        <w:rPr>
          <w:rFonts w:ascii="Times New Roman" w:hAnsi="Times New Roman" w:cs="Times New Roman"/>
          <w:sz w:val="24"/>
          <w:szCs w:val="24"/>
        </w:rPr>
        <w:t xml:space="preserve"> seminariów dla beneficjentów i potencjalnych beneficjentów Programu;</w:t>
      </w:r>
    </w:p>
    <w:p w14:paraId="6799A2F0" w14:textId="77A07754" w:rsidR="001152D4" w:rsidRPr="002943E9" w:rsidRDefault="001152D4" w:rsidP="00BF328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943E9">
        <w:rPr>
          <w:rFonts w:ascii="Times New Roman" w:hAnsi="Times New Roman" w:cs="Times New Roman"/>
          <w:sz w:val="24"/>
          <w:szCs w:val="24"/>
        </w:rPr>
        <w:t>koszty noclegów uczestników konferencji, spotkań, szkoleń, warsztatów</w:t>
      </w:r>
      <w:r w:rsidR="001A16A7">
        <w:rPr>
          <w:rFonts w:ascii="Times New Roman" w:hAnsi="Times New Roman" w:cs="Times New Roman"/>
          <w:sz w:val="24"/>
          <w:szCs w:val="24"/>
        </w:rPr>
        <w:t xml:space="preserve">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1A16A7">
        <w:rPr>
          <w:rFonts w:ascii="Times New Roman" w:hAnsi="Times New Roman" w:cs="Times New Roman"/>
          <w:sz w:val="24"/>
          <w:szCs w:val="24"/>
        </w:rPr>
        <w:t>i</w:t>
      </w:r>
      <w:r w:rsidRPr="002943E9">
        <w:rPr>
          <w:rFonts w:ascii="Times New Roman" w:hAnsi="Times New Roman" w:cs="Times New Roman"/>
          <w:sz w:val="24"/>
          <w:szCs w:val="24"/>
        </w:rPr>
        <w:t xml:space="preserve"> seminariów dla beneficjentów i potencjalnych bene</w:t>
      </w:r>
      <w:r w:rsidR="00525E80" w:rsidRPr="002943E9">
        <w:rPr>
          <w:rFonts w:ascii="Times New Roman" w:hAnsi="Times New Roman" w:cs="Times New Roman"/>
          <w:sz w:val="24"/>
          <w:szCs w:val="24"/>
        </w:rPr>
        <w:t>ficjentów Programu</w:t>
      </w:r>
      <w:r w:rsidR="00410AC0" w:rsidRPr="002943E9">
        <w:rPr>
          <w:rFonts w:ascii="Times New Roman" w:hAnsi="Times New Roman" w:cs="Times New Roman"/>
          <w:sz w:val="24"/>
          <w:szCs w:val="24"/>
        </w:rPr>
        <w:t xml:space="preserve">.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W przypadku gdy faktyczna liczba uczestników, która została zgłoszona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do korzystania z usługi noclegu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2943E9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% liczby uczestników deklarujących swój udział (przy dochowaniu należytej staranności przez organizatora wydarzenia na etapie jego planowania i rekrutacji uczestników), wówczas za koszt kwalifikowalny uznaje się koszt usługi </w:t>
      </w:r>
      <w:r w:rsidR="00501571">
        <w:rPr>
          <w:rFonts w:ascii="Times New Roman" w:hAnsi="Times New Roman" w:cs="Times New Roman"/>
          <w:sz w:val="24"/>
          <w:szCs w:val="24"/>
        </w:rPr>
        <w:t>noclegowej w całości wynikający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A731C2" w:rsidRPr="002943E9">
        <w:rPr>
          <w:rFonts w:ascii="Times New Roman" w:hAnsi="Times New Roman" w:cs="Times New Roman"/>
          <w:sz w:val="24"/>
          <w:szCs w:val="24"/>
        </w:rPr>
        <w:lastRenderedPageBreak/>
        <w:t>wystawionej i opłaconej faktury lub równoważnego dokumentu</w:t>
      </w:r>
      <w:r w:rsidR="00501571">
        <w:rPr>
          <w:rFonts w:ascii="Times New Roman" w:hAnsi="Times New Roman" w:cs="Times New Roman"/>
          <w:sz w:val="24"/>
          <w:szCs w:val="24"/>
        </w:rPr>
        <w:t>.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(Przykład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: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300E2D" w:rsidRPr="002943E9">
        <w:rPr>
          <w:rFonts w:ascii="Times New Roman" w:hAnsi="Times New Roman" w:cs="Times New Roman"/>
          <w:sz w:val="24"/>
          <w:szCs w:val="24"/>
        </w:rPr>
        <w:t>faktycznie udział 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osób.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 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2943E9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8D1BFD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z wystawionej i opłaconej faktury / równoważnego dokumen</w:t>
      </w:r>
      <w:r w:rsidR="002943E9" w:rsidRPr="002943E9">
        <w:rPr>
          <w:rFonts w:ascii="Times New Roman" w:hAnsi="Times New Roman" w:cs="Times New Roman"/>
          <w:sz w:val="24"/>
          <w:szCs w:val="24"/>
        </w:rPr>
        <w:t>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27DC0" w:rsidRPr="002943E9">
        <w:rPr>
          <w:rFonts w:ascii="Times New Roman" w:hAnsi="Times New Roman" w:cs="Times New Roman"/>
          <w:sz w:val="24"/>
          <w:szCs w:val="24"/>
        </w:rPr>
        <w:t>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2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: W wydarzeniu udział zadeklarowało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27DC0" w:rsidRPr="002943E9">
        <w:rPr>
          <w:rFonts w:ascii="Times New Roman" w:hAnsi="Times New Roman" w:cs="Times New Roman"/>
          <w:sz w:val="24"/>
          <w:szCs w:val="24"/>
        </w:rPr>
        <w:t>100 o</w:t>
      </w:r>
      <w:r w:rsidR="00300E2D" w:rsidRPr="002943E9">
        <w:rPr>
          <w:rFonts w:ascii="Times New Roman" w:hAnsi="Times New Roman" w:cs="Times New Roman"/>
          <w:sz w:val="24"/>
          <w:szCs w:val="24"/>
        </w:rPr>
        <w:t>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1A16A7">
        <w:rPr>
          <w:rFonts w:ascii="Times New Roman" w:hAnsi="Times New Roman" w:cs="Times New Roman"/>
          <w:sz w:val="24"/>
          <w:szCs w:val="24"/>
        </w:rPr>
        <w:t>y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 w wy</w:t>
      </w:r>
      <w:r w:rsidR="00300E2D" w:rsidRPr="002943E9">
        <w:rPr>
          <w:rFonts w:ascii="Times New Roman" w:hAnsi="Times New Roman" w:cs="Times New Roman"/>
          <w:sz w:val="24"/>
          <w:szCs w:val="24"/>
        </w:rPr>
        <w:t>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1A16A7">
        <w:rPr>
          <w:rFonts w:ascii="Times New Roman" w:hAnsi="Times New Roman" w:cs="Times New Roman"/>
          <w:sz w:val="24"/>
          <w:szCs w:val="24"/>
        </w:rPr>
        <w:t>d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27DC0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powinien być pomniejszo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ny o koszt dot.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BF3285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2943E9" w:rsidRPr="002943E9">
        <w:rPr>
          <w:rFonts w:ascii="Times New Roman" w:hAnsi="Times New Roman" w:cs="Times New Roman"/>
          <w:sz w:val="24"/>
          <w:szCs w:val="24"/>
        </w:rPr>
        <w:t>);</w:t>
      </w:r>
    </w:p>
    <w:p w14:paraId="0C0CBF1C" w14:textId="02485948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wsparcia</w:t>
      </w:r>
      <w:r w:rsidR="00B50FE4">
        <w:rPr>
          <w:rFonts w:ascii="Times New Roman" w:hAnsi="Times New Roman" w:cs="Times New Roman"/>
          <w:sz w:val="24"/>
          <w:szCs w:val="24"/>
        </w:rPr>
        <w:t xml:space="preserve"> ze strony</w:t>
      </w:r>
      <w:r w:rsidRPr="00125A6F">
        <w:rPr>
          <w:rFonts w:ascii="Times New Roman" w:hAnsi="Times New Roman" w:cs="Times New Roman"/>
          <w:sz w:val="24"/>
          <w:szCs w:val="24"/>
        </w:rPr>
        <w:t xml:space="preserve"> eksper</w:t>
      </w:r>
      <w:r w:rsidR="00B50FE4">
        <w:rPr>
          <w:rFonts w:ascii="Times New Roman" w:hAnsi="Times New Roman" w:cs="Times New Roman"/>
          <w:sz w:val="24"/>
          <w:szCs w:val="24"/>
        </w:rPr>
        <w:t>tów</w:t>
      </w:r>
      <w:r w:rsidRPr="00125A6F">
        <w:rPr>
          <w:rFonts w:ascii="Times New Roman" w:hAnsi="Times New Roman" w:cs="Times New Roman"/>
          <w:sz w:val="24"/>
          <w:szCs w:val="24"/>
        </w:rPr>
        <w:t xml:space="preserve"> oraz wykładowców;</w:t>
      </w:r>
    </w:p>
    <w:p w14:paraId="600C5A8E" w14:textId="77777777" w:rsidR="001152D4" w:rsidRPr="00125A6F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C14A0">
        <w:rPr>
          <w:rFonts w:ascii="Times New Roman" w:hAnsi="Times New Roman" w:cs="Times New Roman"/>
          <w:sz w:val="24"/>
          <w:szCs w:val="24"/>
        </w:rPr>
        <w:t>koszty wykonania i zamieszczenia tymczasowego bilbordu dużego formatu, stałej tablicy lub bilbordu dużego formatu, plakatu A3 lub tablicy informacyjnej;</w:t>
      </w:r>
    </w:p>
    <w:p w14:paraId="54FADB11" w14:textId="77777777" w:rsidR="001152D4" w:rsidRPr="008433F2" w:rsidRDefault="00125A6F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C14A0">
        <w:rPr>
          <w:rFonts w:ascii="Times New Roman" w:hAnsi="Times New Roman" w:cs="Times New Roman"/>
          <w:sz w:val="24"/>
          <w:szCs w:val="24"/>
        </w:rPr>
        <w:t>k</w:t>
      </w:r>
      <w:r w:rsidR="001152D4" w:rsidRPr="000C14A0">
        <w:rPr>
          <w:rFonts w:ascii="Times New Roman" w:hAnsi="Times New Roman" w:cs="Times New Roman"/>
          <w:sz w:val="24"/>
          <w:szCs w:val="24"/>
        </w:rPr>
        <w:t>oszty materiałów promocyjnych</w:t>
      </w:r>
      <w:r w:rsidR="008433F2" w:rsidRPr="000C14A0">
        <w:rPr>
          <w:rFonts w:ascii="Times New Roman" w:hAnsi="Times New Roman" w:cs="Times New Roman"/>
          <w:sz w:val="24"/>
          <w:szCs w:val="24"/>
        </w:rPr>
        <w:t>;</w:t>
      </w:r>
    </w:p>
    <w:p w14:paraId="0C3D374F" w14:textId="1867DF16" w:rsidR="001152D4" w:rsidRPr="00B50FE4" w:rsidRDefault="008433F2" w:rsidP="00D9252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C14A0"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nagród rzeczowych dla laureatów konkursu.</w:t>
      </w:r>
    </w:p>
    <w:p w14:paraId="237F796A" w14:textId="31554202" w:rsidR="000C14A0" w:rsidRPr="006358B5" w:rsidRDefault="00B50FE4" w:rsidP="000C14A0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Koszty zakupu m</w:t>
      </w:r>
      <w:r w:rsidR="000C14A0">
        <w:rPr>
          <w:rFonts w:ascii="Times New Roman" w:eastAsia="Calibri" w:hAnsi="Times New Roman" w:cs="Times New Roman"/>
          <w:sz w:val="24"/>
          <w:szCs w:val="24"/>
        </w:rPr>
        <w:t>ateriał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promocyjn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są kwalifikowalne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jeżeli</w:t>
      </w:r>
      <w:r w:rsidR="005D7E60">
        <w:rPr>
          <w:rFonts w:ascii="Times New Roman" w:eastAsia="Calibri" w:hAnsi="Times New Roman" w:cs="Times New Roman"/>
          <w:sz w:val="24"/>
          <w:szCs w:val="24"/>
        </w:rPr>
        <w:t xml:space="preserve"> materiały te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spełniają następujące warunki:</w:t>
      </w:r>
    </w:p>
    <w:p w14:paraId="6C619552" w14:textId="01BD22AA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są ujęte w budżecie operacji i stanowią jedną z</w:t>
      </w:r>
      <w:r w:rsidR="00B50FE4">
        <w:rPr>
          <w:rFonts w:ascii="Times New Roman" w:eastAsia="Calibri" w:hAnsi="Times New Roman" w:cs="Times New Roman"/>
          <w:sz w:val="24"/>
          <w:szCs w:val="24"/>
        </w:rPr>
        <w:t xml:space="preserve"> jej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składowych;</w:t>
      </w:r>
    </w:p>
    <w:p w14:paraId="76AA655E" w14:textId="228F5B9B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określona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Pr="00B9682A">
        <w:rPr>
          <w:rFonts w:ascii="Times New Roman" w:eastAsia="Calibri" w:hAnsi="Times New Roman" w:cs="Times New Roman"/>
          <w:sz w:val="24"/>
          <w:szCs w:val="24"/>
        </w:rPr>
        <w:t>grupa odbiorców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682A">
        <w:rPr>
          <w:rFonts w:ascii="Times New Roman" w:eastAsia="Calibri" w:hAnsi="Times New Roman" w:cs="Times New Roman"/>
          <w:sz w:val="24"/>
          <w:szCs w:val="24"/>
        </w:rPr>
        <w:t>zgodnie z planem promocji</w:t>
      </w:r>
      <w:r w:rsidR="005D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FE4">
        <w:rPr>
          <w:rFonts w:ascii="Times New Roman" w:eastAsia="Calibri" w:hAnsi="Times New Roman" w:cs="Times New Roman"/>
          <w:sz w:val="24"/>
          <w:szCs w:val="24"/>
        </w:rPr>
        <w:t>operacji</w:t>
      </w:r>
      <w:r>
        <w:rPr>
          <w:rFonts w:ascii="Times New Roman" w:eastAsia="Calibri" w:hAnsi="Times New Roman" w:cs="Times New Roman"/>
          <w:sz w:val="24"/>
          <w:szCs w:val="24"/>
        </w:rPr>
        <w:t>, jeśli plan taki istnieje;</w:t>
      </w:r>
    </w:p>
    <w:p w14:paraId="01FFCDA6" w14:textId="2DCF8968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nawiąz</w:t>
      </w:r>
      <w:r>
        <w:rPr>
          <w:rFonts w:ascii="Times New Roman" w:eastAsia="Calibri" w:hAnsi="Times New Roman" w:cs="Times New Roman"/>
          <w:sz w:val="24"/>
          <w:szCs w:val="24"/>
        </w:rPr>
        <w:t>ują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 do charakteru </w:t>
      </w:r>
      <w:r w:rsidR="00B50FE4">
        <w:rPr>
          <w:rFonts w:ascii="Times New Roman" w:eastAsia="Calibri" w:hAnsi="Times New Roman" w:cs="Times New Roman"/>
          <w:sz w:val="24"/>
          <w:szCs w:val="24"/>
        </w:rPr>
        <w:t>operacji</w:t>
      </w:r>
      <w:r w:rsidR="00B50FE4" w:rsidRPr="00B96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(np. w przypadku szkoleń mogą być to długopisy </w:t>
      </w:r>
      <w:r>
        <w:rPr>
          <w:rFonts w:ascii="Times New Roman" w:eastAsia="Calibri" w:hAnsi="Times New Roman" w:cs="Times New Roman"/>
          <w:sz w:val="24"/>
          <w:szCs w:val="24"/>
        </w:rPr>
        <w:t>i notesy dla uczestników itp.);</w:t>
      </w:r>
    </w:p>
    <w:p w14:paraId="4D810E94" w14:textId="77777777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są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 dostosowane i przy</w:t>
      </w:r>
      <w:r>
        <w:rPr>
          <w:rFonts w:ascii="Times New Roman" w:eastAsia="Calibri" w:hAnsi="Times New Roman" w:cs="Times New Roman"/>
          <w:sz w:val="24"/>
          <w:szCs w:val="24"/>
        </w:rPr>
        <w:t>datne dla danej grupy odbiorców;</w:t>
      </w:r>
    </w:p>
    <w:p w14:paraId="6B192339" w14:textId="77777777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uwzględniony </w:t>
      </w:r>
      <w:r>
        <w:rPr>
          <w:rFonts w:ascii="Times New Roman" w:eastAsia="Calibri" w:hAnsi="Times New Roman" w:cs="Times New Roman"/>
          <w:sz w:val="24"/>
          <w:szCs w:val="24"/>
        </w:rPr>
        <w:t>jest sposób ich dystrybucji/emisji;</w:t>
      </w:r>
    </w:p>
    <w:p w14:paraId="3E694249" w14:textId="11E2A244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nie są </w:t>
      </w:r>
      <w:r w:rsidR="005D7E60">
        <w:rPr>
          <w:rFonts w:ascii="Times New Roman" w:eastAsia="Calibri" w:hAnsi="Times New Roman" w:cs="Times New Roman"/>
          <w:sz w:val="24"/>
          <w:szCs w:val="24"/>
        </w:rPr>
        <w:t>kupowane</w:t>
      </w:r>
      <w:r w:rsidR="005D7E60" w:rsidRPr="00B96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82A">
        <w:rPr>
          <w:rFonts w:ascii="Times New Roman" w:eastAsia="Calibri" w:hAnsi="Times New Roman" w:cs="Times New Roman"/>
          <w:sz w:val="24"/>
          <w:szCs w:val="24"/>
        </w:rPr>
        <w:t>jako samodzielny projekt.</w:t>
      </w:r>
    </w:p>
    <w:p w14:paraId="6720B8AB" w14:textId="6092DE36" w:rsidR="000C14A0" w:rsidRDefault="000C14A0" w:rsidP="000C14A0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F6" w:rsidDel="00E9225D">
        <w:rPr>
          <w:rFonts w:ascii="Times New Roman" w:eastAsia="Calibri" w:hAnsi="Times New Roman" w:cs="Times New Roman"/>
          <w:sz w:val="24"/>
          <w:szCs w:val="24"/>
        </w:rPr>
        <w:t xml:space="preserve">Nie rekomendowane jest wykonanie i dystrybucja materiałów promocyjnych do promocji operacji. Materiały takie mogą być wyłącznie elementem wspierającym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ramach realizacji </w:t>
      </w:r>
      <w:r w:rsidRPr="00601DF6" w:rsidDel="00E9225D">
        <w:rPr>
          <w:rFonts w:ascii="Times New Roman" w:eastAsia="Calibri" w:hAnsi="Times New Roman" w:cs="Times New Roman"/>
          <w:sz w:val="24"/>
          <w:szCs w:val="24"/>
        </w:rPr>
        <w:t xml:space="preserve">operacji. </w:t>
      </w:r>
    </w:p>
    <w:p w14:paraId="6D596344" w14:textId="77777777" w:rsidR="004B7EA3" w:rsidRDefault="004B7EA3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9421E2B" w14:textId="77777777" w:rsidR="001152D4" w:rsidRPr="004B7EA3" w:rsidRDefault="000C14A0" w:rsidP="00D9252E">
      <w:pPr>
        <w:autoSpaceDE w:val="0"/>
        <w:autoSpaceDN w:val="0"/>
        <w:spacing w:before="60" w:after="60"/>
        <w:jc w:val="both"/>
        <w:rPr>
          <w:rFonts w:ascii="Times" w:hAnsi="Times" w:cs="Arial"/>
          <w:b/>
          <w:bCs/>
          <w:sz w:val="24"/>
          <w:szCs w:val="20"/>
        </w:rPr>
      </w:pPr>
      <w:r w:rsidRPr="004B7EA3">
        <w:rPr>
          <w:rFonts w:ascii="Times New Roman" w:hAnsi="Times New Roman" w:cs="Times New Roman"/>
          <w:b/>
          <w:sz w:val="24"/>
          <w:szCs w:val="24"/>
        </w:rPr>
        <w:t>2.2</w:t>
      </w:r>
      <w:r w:rsidR="00E869DF" w:rsidRPr="004B7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2D4" w:rsidRPr="004B7EA3">
        <w:rPr>
          <w:rFonts w:ascii="Times New Roman" w:hAnsi="Times New Roman" w:cs="Times New Roman"/>
          <w:b/>
          <w:sz w:val="24"/>
          <w:szCs w:val="24"/>
        </w:rPr>
        <w:t xml:space="preserve">Koszty podróży służbowych oraz przejazdów, dojazdów środkami komunikacji miejscowej </w:t>
      </w:r>
    </w:p>
    <w:p w14:paraId="188C11D8" w14:textId="5DA648AB" w:rsidR="001152D4" w:rsidRDefault="001152D4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Kosztami kwalifikowalnymi są k</w:t>
      </w:r>
      <w:r w:rsidRPr="00601DF6">
        <w:rPr>
          <w:rFonts w:ascii="Times New Roman" w:hAnsi="Times New Roman" w:cs="Times New Roman"/>
          <w:sz w:val="24"/>
          <w:szCs w:val="24"/>
        </w:rPr>
        <w:t>oszty przejazdów</w:t>
      </w:r>
      <w:r w:rsidR="005D7E60">
        <w:rPr>
          <w:rFonts w:ascii="Times New Roman" w:hAnsi="Times New Roman" w:cs="Times New Roman"/>
          <w:sz w:val="24"/>
          <w:szCs w:val="24"/>
        </w:rPr>
        <w:t xml:space="preserve"> i</w:t>
      </w:r>
      <w:r w:rsidRPr="00601DF6">
        <w:rPr>
          <w:rFonts w:ascii="Times New Roman" w:hAnsi="Times New Roman" w:cs="Times New Roman"/>
          <w:sz w:val="24"/>
          <w:szCs w:val="24"/>
        </w:rPr>
        <w:t xml:space="preserve"> dojazdów środkami komunikacji miejscowej</w:t>
      </w:r>
      <w:r w:rsidR="005D7E60">
        <w:rPr>
          <w:rFonts w:ascii="Times New Roman" w:hAnsi="Times New Roman" w:cs="Times New Roman"/>
          <w:sz w:val="24"/>
          <w:szCs w:val="24"/>
        </w:rPr>
        <w:t>,</w:t>
      </w:r>
      <w:r w:rsidRPr="00601DF6">
        <w:rPr>
          <w:rFonts w:ascii="Times New Roman" w:hAnsi="Times New Roman" w:cs="Times New Roman"/>
          <w:sz w:val="24"/>
          <w:szCs w:val="24"/>
        </w:rPr>
        <w:t xml:space="preserve"> poniesion</w:t>
      </w:r>
      <w:r w:rsidR="005D7E60">
        <w:rPr>
          <w:rFonts w:ascii="Times New Roman" w:hAnsi="Times New Roman" w:cs="Times New Roman"/>
          <w:sz w:val="24"/>
          <w:szCs w:val="24"/>
        </w:rPr>
        <w:t>e</w:t>
      </w:r>
      <w:r w:rsidRPr="00601DF6">
        <w:rPr>
          <w:rFonts w:ascii="Times New Roman" w:hAnsi="Times New Roman" w:cs="Times New Roman"/>
          <w:sz w:val="24"/>
          <w:szCs w:val="24"/>
        </w:rPr>
        <w:t xml:space="preserve"> przez</w:t>
      </w:r>
      <w:r w:rsidRPr="00601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DF6">
        <w:rPr>
          <w:rFonts w:ascii="Times New Roman" w:hAnsi="Times New Roman" w:cs="Times New Roman"/>
          <w:sz w:val="24"/>
          <w:szCs w:val="24"/>
        </w:rPr>
        <w:t>pracowników IZ/podmiotu wdrażającego</w:t>
      </w:r>
      <w:r w:rsidR="005D7E60">
        <w:rPr>
          <w:rFonts w:ascii="Times New Roman" w:hAnsi="Times New Roman" w:cs="Times New Roman"/>
          <w:sz w:val="24"/>
          <w:szCs w:val="24"/>
        </w:rPr>
        <w:t>,</w:t>
      </w:r>
      <w:r w:rsidRPr="00601DF6">
        <w:rPr>
          <w:rFonts w:ascii="Times New Roman" w:hAnsi="Times New Roman" w:cs="Times New Roman"/>
          <w:sz w:val="24"/>
          <w:szCs w:val="24"/>
        </w:rPr>
        <w:t xml:space="preserve"> które są niezbędne do realizacji zadań kwalifikowalnych, uzasadnione zakresem operacji i 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601DF6">
        <w:rPr>
          <w:rFonts w:ascii="Times New Roman" w:hAnsi="Times New Roman" w:cs="Times New Roman"/>
          <w:sz w:val="24"/>
          <w:szCs w:val="24"/>
        </w:rPr>
        <w:t>do osiągnięcia jej celu oraz racjonalne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5441D" w14:textId="144EE20C" w:rsidR="00662DB1" w:rsidRDefault="001152D4" w:rsidP="00662DB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36F96">
        <w:rPr>
          <w:rFonts w:ascii="Times New Roman" w:hAnsi="Times New Roman" w:cs="Times New Roman"/>
          <w:sz w:val="24"/>
          <w:szCs w:val="24"/>
        </w:rPr>
        <w:t>Koszty przejazdów środkami komunikacji publicznej powinny wynikać z aktualnego taryfikatora przejazdów kolejowych, autokarowych, autobusowych itp. W przypadku podróży samochodami służbowymi oraz samochodami prywatnymi wykorzystywanymi do celów służbowych na potrzeby</w:t>
      </w:r>
      <w:r>
        <w:rPr>
          <w:rFonts w:ascii="Times New Roman" w:hAnsi="Times New Roman" w:cs="Times New Roman"/>
          <w:sz w:val="24"/>
          <w:szCs w:val="24"/>
        </w:rPr>
        <w:t xml:space="preserve"> realizacji operacji</w:t>
      </w:r>
      <w:r w:rsidRPr="00136F96">
        <w:rPr>
          <w:rFonts w:ascii="Times New Roman" w:hAnsi="Times New Roman" w:cs="Times New Roman"/>
          <w:sz w:val="24"/>
          <w:szCs w:val="24"/>
        </w:rPr>
        <w:t xml:space="preserve">, koszty z nimi związane należy rozliczyć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136F96">
        <w:rPr>
          <w:rFonts w:ascii="Times New Roman" w:hAnsi="Times New Roman" w:cs="Times New Roman"/>
          <w:sz w:val="24"/>
          <w:szCs w:val="24"/>
        </w:rPr>
        <w:lastRenderedPageBreak/>
        <w:t xml:space="preserve">na podstawie dokumentacji dotyczącej podróży, tj. należy uwzględnić datę wyjazdu, opis trasy (skąd – dokąd), cel wyjazdu, liczbę przejechanych kilometrów, stawkę za 1 km przebiegu (wg stawek za kilometr, zgodnych z obowiązującymi przepisami), całkowity koszt przejazdu, numer rejestracyjny pojazdu oraz pojemność i rodzaj silnika. Użycie samochodu jako środka transportu i przedstawienie wynikających z tego kosztów jako kwalifikowalnych zasadne jest wtedy, gdy nie istnieje inna, bardziej racjonalna możliwość przejazdu, co należy </w:t>
      </w:r>
      <w:r w:rsidR="005D7E60">
        <w:rPr>
          <w:rFonts w:ascii="Times New Roman" w:hAnsi="Times New Roman" w:cs="Times New Roman"/>
          <w:sz w:val="24"/>
          <w:szCs w:val="24"/>
        </w:rPr>
        <w:t>wyjaśnić</w:t>
      </w:r>
      <w:r w:rsidR="005D7E60" w:rsidRPr="00136F96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uzasadnieniu do wniosku.</w:t>
      </w:r>
      <w:r w:rsidRPr="00975ECD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przypadku korzystania z przejazdów kolejowych, autokarowych</w:t>
      </w:r>
      <w:r w:rsidR="005D7E60">
        <w:rPr>
          <w:rFonts w:ascii="Times New Roman" w:hAnsi="Times New Roman" w:cs="Times New Roman"/>
          <w:sz w:val="24"/>
          <w:szCs w:val="24"/>
        </w:rPr>
        <w:t xml:space="preserve"> lub</w:t>
      </w:r>
      <w:r w:rsidRPr="00136F96">
        <w:rPr>
          <w:rFonts w:ascii="Times New Roman" w:hAnsi="Times New Roman" w:cs="Times New Roman"/>
          <w:sz w:val="24"/>
          <w:szCs w:val="24"/>
        </w:rPr>
        <w:t xml:space="preserve"> autobusowych</w:t>
      </w:r>
      <w:r w:rsidR="005D7E60">
        <w:rPr>
          <w:rFonts w:ascii="Times New Roman" w:hAnsi="Times New Roman" w:cs="Times New Roman"/>
          <w:sz w:val="24"/>
          <w:szCs w:val="24"/>
        </w:rPr>
        <w:t>,</w:t>
      </w:r>
      <w:r w:rsidRPr="00136F96">
        <w:rPr>
          <w:rFonts w:ascii="Times New Roman" w:hAnsi="Times New Roman" w:cs="Times New Roman"/>
          <w:sz w:val="24"/>
          <w:szCs w:val="24"/>
        </w:rPr>
        <w:t xml:space="preserve"> należy przedstawić dokumenty poświa</w:t>
      </w:r>
      <w:r>
        <w:rPr>
          <w:rFonts w:ascii="Times New Roman" w:hAnsi="Times New Roman" w:cs="Times New Roman"/>
          <w:sz w:val="24"/>
          <w:szCs w:val="24"/>
        </w:rPr>
        <w:t>dczające odbycie podróży (bilet</w:t>
      </w:r>
      <w:r w:rsidRPr="00136F9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Za k</w:t>
      </w:r>
      <w:r w:rsidRPr="00136F96">
        <w:rPr>
          <w:rFonts w:ascii="Times New Roman" w:hAnsi="Times New Roman" w:cs="Times New Roman"/>
          <w:sz w:val="24"/>
          <w:szCs w:val="24"/>
        </w:rPr>
        <w:t xml:space="preserve">walifikowalne uznawane będą koszty, które są racjonalne. W przypadku przejazdów kolejowych podróże takie powinny odbywać się w II klasie. </w:t>
      </w:r>
      <w:r w:rsidR="00662DB1">
        <w:rPr>
          <w:rFonts w:ascii="Times New Roman" w:hAnsi="Times New Roman" w:cs="Times New Roman"/>
          <w:sz w:val="24"/>
          <w:szCs w:val="24"/>
        </w:rPr>
        <w:t xml:space="preserve">W wyjątkowych przypadkach możliwa jest refundacja biletów kolejowych zakupionych w I klasie. Dotyczy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662DB1">
        <w:rPr>
          <w:rFonts w:ascii="Times New Roman" w:hAnsi="Times New Roman" w:cs="Times New Roman"/>
          <w:sz w:val="24"/>
          <w:szCs w:val="24"/>
        </w:rPr>
        <w:t>to sytuacji, w której brak było możliwości zakupu na dane połączenie</w:t>
      </w:r>
      <w:r w:rsidR="005D7E60">
        <w:rPr>
          <w:rFonts w:ascii="Times New Roman" w:hAnsi="Times New Roman" w:cs="Times New Roman"/>
          <w:sz w:val="24"/>
          <w:szCs w:val="24"/>
        </w:rPr>
        <w:t xml:space="preserve"> w danym terminie</w:t>
      </w:r>
      <w:r w:rsidR="00662DB1">
        <w:rPr>
          <w:rFonts w:ascii="Times New Roman" w:hAnsi="Times New Roman" w:cs="Times New Roman"/>
          <w:sz w:val="24"/>
          <w:szCs w:val="24"/>
        </w:rPr>
        <w:t xml:space="preserve"> biletów innych niż w I klasie.</w:t>
      </w:r>
    </w:p>
    <w:p w14:paraId="1DBE6F2B" w14:textId="06AD2CFD" w:rsidR="008A4F6E" w:rsidRPr="00136F96" w:rsidRDefault="008A4F6E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4042D57" w14:textId="77777777" w:rsidR="001152D4" w:rsidRPr="004B7EA3" w:rsidRDefault="000C14A0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EA3">
        <w:rPr>
          <w:rFonts w:ascii="Times New Roman" w:hAnsi="Times New Roman" w:cs="Times New Roman"/>
          <w:b/>
          <w:sz w:val="24"/>
          <w:szCs w:val="24"/>
        </w:rPr>
        <w:t>2.3</w:t>
      </w:r>
      <w:r w:rsidR="001152D4" w:rsidRPr="004B7EA3">
        <w:rPr>
          <w:rFonts w:ascii="Times New Roman" w:hAnsi="Times New Roman" w:cs="Times New Roman"/>
          <w:b/>
          <w:sz w:val="24"/>
          <w:szCs w:val="24"/>
        </w:rPr>
        <w:t xml:space="preserve"> Koszty nagród </w:t>
      </w:r>
      <w:r w:rsidR="008B15C3">
        <w:rPr>
          <w:rFonts w:ascii="Times New Roman" w:hAnsi="Times New Roman" w:cs="Times New Roman"/>
          <w:b/>
          <w:sz w:val="24"/>
          <w:szCs w:val="24"/>
        </w:rPr>
        <w:t xml:space="preserve">finansowych </w:t>
      </w:r>
      <w:r w:rsidR="001152D4" w:rsidRPr="004B7EA3">
        <w:rPr>
          <w:rFonts w:ascii="Times New Roman" w:hAnsi="Times New Roman" w:cs="Times New Roman"/>
          <w:b/>
          <w:sz w:val="24"/>
          <w:szCs w:val="24"/>
        </w:rPr>
        <w:t>dla laureatów konkursów</w:t>
      </w:r>
    </w:p>
    <w:p w14:paraId="1F4C2452" w14:textId="1AD29DBF" w:rsidR="001152D4" w:rsidRDefault="001152D4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te </w:t>
      </w:r>
      <w:r w:rsidRPr="00601DF6">
        <w:rPr>
          <w:rFonts w:ascii="Times" w:hAnsi="Times" w:cs="Arial"/>
          <w:bCs/>
          <w:sz w:val="24"/>
          <w:szCs w:val="20"/>
        </w:rPr>
        <w:t>są kwalifikowalne</w:t>
      </w:r>
      <w:r w:rsidR="005D7E60">
        <w:rPr>
          <w:rFonts w:ascii="Times" w:hAnsi="Times" w:cs="Arial"/>
          <w:bCs/>
          <w:sz w:val="24"/>
          <w:szCs w:val="20"/>
        </w:rPr>
        <w:t>,</w:t>
      </w:r>
      <w:r w:rsidRPr="00601DF6">
        <w:rPr>
          <w:rFonts w:ascii="Times" w:hAnsi="Times" w:cs="Arial"/>
          <w:bCs/>
          <w:sz w:val="24"/>
          <w:szCs w:val="20"/>
        </w:rPr>
        <w:t xml:space="preserve"> jeżeli są </w:t>
      </w:r>
      <w:r w:rsidRPr="006A73F0">
        <w:rPr>
          <w:rFonts w:ascii="Times" w:hAnsi="Times" w:cs="Arial"/>
          <w:bCs/>
          <w:sz w:val="24"/>
          <w:szCs w:val="20"/>
        </w:rPr>
        <w:t>uzasadnione zakresem operacji realizowanej przez beneficjenta pomocy technicznej (IZ, podmiot wdrażający) w ramach działania 8 Planu działania KSOW 2014-2020 – Plan komunikacyjny PROW 2014-2020 i niezbędne do osiągnięcia jej celu oraz racjonalne.</w:t>
      </w:r>
      <w:r>
        <w:rPr>
          <w:rFonts w:ascii="Times" w:hAnsi="Times" w:cs="Arial"/>
          <w:bCs/>
          <w:sz w:val="24"/>
          <w:szCs w:val="20"/>
        </w:rPr>
        <w:t xml:space="preserve"> </w:t>
      </w:r>
      <w:r w:rsidRPr="004D1897">
        <w:rPr>
          <w:rFonts w:ascii="Times New Roman" w:hAnsi="Times New Roman" w:cs="Times New Roman"/>
          <w:sz w:val="24"/>
          <w:szCs w:val="24"/>
        </w:rPr>
        <w:t xml:space="preserve">Nagrody </w:t>
      </w:r>
      <w:r w:rsidR="008B15C3">
        <w:rPr>
          <w:rFonts w:ascii="Times New Roman" w:hAnsi="Times New Roman" w:cs="Times New Roman"/>
          <w:sz w:val="24"/>
          <w:szCs w:val="24"/>
        </w:rPr>
        <w:t>finansowe</w:t>
      </w:r>
      <w:r w:rsidRPr="004D1897">
        <w:rPr>
          <w:rFonts w:ascii="Times New Roman" w:hAnsi="Times New Roman" w:cs="Times New Roman"/>
          <w:sz w:val="24"/>
          <w:szCs w:val="24"/>
        </w:rPr>
        <w:t xml:space="preserve"> dla </w:t>
      </w:r>
      <w:r w:rsidR="005D7E60">
        <w:rPr>
          <w:rFonts w:ascii="Times New Roman" w:hAnsi="Times New Roman" w:cs="Times New Roman"/>
          <w:sz w:val="24"/>
          <w:szCs w:val="24"/>
        </w:rPr>
        <w:t>laureatów</w:t>
      </w:r>
      <w:r w:rsidR="005D7E60" w:rsidRPr="004D1897">
        <w:rPr>
          <w:rFonts w:ascii="Times New Roman" w:hAnsi="Times New Roman" w:cs="Times New Roman"/>
          <w:sz w:val="24"/>
          <w:szCs w:val="24"/>
        </w:rPr>
        <w:t xml:space="preserve"> </w:t>
      </w:r>
      <w:r w:rsidRPr="004D1897">
        <w:rPr>
          <w:rFonts w:ascii="Times New Roman" w:hAnsi="Times New Roman" w:cs="Times New Roman"/>
          <w:sz w:val="24"/>
          <w:szCs w:val="24"/>
        </w:rPr>
        <w:t xml:space="preserve">w konkursach organizowanych w ramach </w:t>
      </w:r>
      <w:r>
        <w:rPr>
          <w:rFonts w:ascii="Times New Roman" w:hAnsi="Times New Roman" w:cs="Times New Roman"/>
          <w:sz w:val="24"/>
          <w:szCs w:val="24"/>
        </w:rPr>
        <w:t>działania Plan</w:t>
      </w:r>
      <w:r w:rsidRPr="004D1897">
        <w:rPr>
          <w:rFonts w:ascii="Times New Roman" w:hAnsi="Times New Roman" w:cs="Times New Roman"/>
          <w:sz w:val="24"/>
          <w:szCs w:val="24"/>
        </w:rPr>
        <w:t xml:space="preserve"> Komunikacyjn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D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 2014-2020 </w:t>
      </w:r>
      <w:r w:rsidRPr="004D1897">
        <w:rPr>
          <w:rFonts w:ascii="Times New Roman" w:hAnsi="Times New Roman" w:cs="Times New Roman"/>
          <w:sz w:val="24"/>
          <w:szCs w:val="24"/>
        </w:rPr>
        <w:t xml:space="preserve">mogą zostać uznane za koszt kwalifikowalny, o ile zostały przewidziane w Planie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D1897">
        <w:rPr>
          <w:rFonts w:ascii="Times New Roman" w:hAnsi="Times New Roman" w:cs="Times New Roman"/>
          <w:sz w:val="24"/>
          <w:szCs w:val="24"/>
        </w:rPr>
        <w:t>omunikacyjnym</w:t>
      </w:r>
      <w:r>
        <w:rPr>
          <w:rFonts w:ascii="Times New Roman" w:hAnsi="Times New Roman" w:cs="Times New Roman"/>
          <w:sz w:val="24"/>
          <w:szCs w:val="24"/>
        </w:rPr>
        <w:t xml:space="preserve"> danego beneficjenta</w:t>
      </w:r>
      <w:r w:rsidRPr="004D1897">
        <w:rPr>
          <w:rFonts w:ascii="Times New Roman" w:hAnsi="Times New Roman" w:cs="Times New Roman"/>
          <w:sz w:val="24"/>
          <w:szCs w:val="24"/>
        </w:rPr>
        <w:t>. Wysokość nagród w konkursach może stanowić do 100% całości kosztów operacji, jednakże wówczas należy przedstawić odpowiednie uzasadnienie</w:t>
      </w:r>
      <w:r w:rsidR="005D7E60">
        <w:rPr>
          <w:rFonts w:ascii="Times New Roman" w:hAnsi="Times New Roman" w:cs="Times New Roman"/>
          <w:sz w:val="24"/>
          <w:szCs w:val="24"/>
        </w:rPr>
        <w:t>, a</w:t>
      </w:r>
      <w:r w:rsidRPr="004D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474DD">
        <w:rPr>
          <w:rFonts w:ascii="Times New Roman" w:hAnsi="Times New Roman" w:cs="Times New Roman"/>
          <w:sz w:val="24"/>
          <w:szCs w:val="24"/>
        </w:rPr>
        <w:t xml:space="preserve">oszty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474DD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0474DD">
        <w:rPr>
          <w:rFonts w:ascii="Times New Roman" w:hAnsi="Times New Roman" w:cs="Times New Roman"/>
          <w:sz w:val="24"/>
          <w:szCs w:val="24"/>
        </w:rPr>
        <w:t xml:space="preserve"> uzasadnione zakresem operacji i niezbędne do osiągnięcia jej celu oraz racjonalne</w:t>
      </w:r>
      <w:r w:rsidRPr="004D1897">
        <w:rPr>
          <w:rFonts w:ascii="Times New Roman" w:hAnsi="Times New Roman" w:cs="Times New Roman"/>
          <w:sz w:val="24"/>
          <w:szCs w:val="24"/>
        </w:rPr>
        <w:t>.</w:t>
      </w:r>
    </w:p>
    <w:p w14:paraId="471A1CBB" w14:textId="7E54150B" w:rsidR="000C14A0" w:rsidRDefault="000C14A0">
      <w:r>
        <w:br w:type="page"/>
      </w:r>
    </w:p>
    <w:p w14:paraId="4FCCFB96" w14:textId="08D54A0C" w:rsidR="00FD5CF2" w:rsidRPr="000C14A0" w:rsidRDefault="00FD5CF2" w:rsidP="00FD5CF2">
      <w:pPr>
        <w:pStyle w:val="Nagwek1"/>
        <w:jc w:val="both"/>
        <w:rPr>
          <w:rFonts w:ascii="Times New Roman" w:hAnsi="Times New Roman"/>
          <w:color w:val="auto"/>
        </w:rPr>
      </w:pPr>
      <w:bookmarkStart w:id="6" w:name="_Toc472579956"/>
      <w:bookmarkStart w:id="7" w:name="_Toc10788490"/>
      <w:r w:rsidRPr="000C14A0">
        <w:rPr>
          <w:rFonts w:ascii="Times New Roman" w:hAnsi="Times New Roman"/>
          <w:color w:val="auto"/>
        </w:rPr>
        <w:lastRenderedPageBreak/>
        <w:t>VI Podział finansowania poszczególnych kosztów pomiędzy schematami</w:t>
      </w:r>
      <w:bookmarkEnd w:id="6"/>
      <w:bookmarkEnd w:id="7"/>
    </w:p>
    <w:p w14:paraId="05DC988A" w14:textId="7DD2AAF1" w:rsidR="00FD5CF2" w:rsidRPr="00161F89" w:rsidRDefault="00FD5CF2" w:rsidP="00B05DF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W przypadku gdy pracownik wnioskodawcy realizuje zadania w ramach PT PROW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w zakresie I </w:t>
      </w:r>
      <w:proofErr w:type="spellStart"/>
      <w:r w:rsidRPr="00161F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F89">
        <w:rPr>
          <w:rFonts w:ascii="Times New Roman" w:hAnsi="Times New Roman" w:cs="Times New Roman"/>
          <w:sz w:val="24"/>
          <w:szCs w:val="24"/>
        </w:rPr>
        <w:t xml:space="preserve"> II schematu, koszty</w:t>
      </w:r>
      <w:r w:rsidR="00742BB7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161F89">
        <w:rPr>
          <w:rFonts w:ascii="Times New Roman" w:hAnsi="Times New Roman" w:cs="Times New Roman"/>
          <w:sz w:val="24"/>
          <w:szCs w:val="24"/>
        </w:rPr>
        <w:t xml:space="preserve"> pracowników realizujących</w:t>
      </w:r>
      <w:r w:rsidR="00742BB7">
        <w:rPr>
          <w:rFonts w:ascii="Times New Roman" w:hAnsi="Times New Roman" w:cs="Times New Roman"/>
          <w:sz w:val="24"/>
          <w:szCs w:val="24"/>
        </w:rPr>
        <w:t xml:space="preserve"> te</w:t>
      </w:r>
      <w:r w:rsidRPr="00161F89">
        <w:rPr>
          <w:rFonts w:ascii="Times New Roman" w:hAnsi="Times New Roman" w:cs="Times New Roman"/>
          <w:sz w:val="24"/>
          <w:szCs w:val="24"/>
        </w:rPr>
        <w:t xml:space="preserve"> zadania </w:t>
      </w:r>
      <w:r w:rsidR="00742BB7" w:rsidRPr="00161F89">
        <w:rPr>
          <w:rFonts w:ascii="Times New Roman" w:hAnsi="Times New Roman" w:cs="Times New Roman"/>
          <w:sz w:val="24"/>
          <w:szCs w:val="24"/>
        </w:rPr>
        <w:t xml:space="preserve">należy </w:t>
      </w:r>
      <w:r w:rsidRPr="00161F89">
        <w:rPr>
          <w:rFonts w:ascii="Times New Roman" w:hAnsi="Times New Roman" w:cs="Times New Roman"/>
          <w:sz w:val="24"/>
          <w:szCs w:val="24"/>
        </w:rPr>
        <w:t>rozliczać w następujący sposób:</w:t>
      </w:r>
    </w:p>
    <w:p w14:paraId="7AD4A0F3" w14:textId="028317E0" w:rsidR="00FD5CF2" w:rsidRPr="00374B67" w:rsidRDefault="000553B3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eśli pracownik realizuje proporcjonalnie (50%/50%) zadania w obszarze schematu I </w:t>
      </w:r>
      <w:proofErr w:type="spellStart"/>
      <w:r w:rsidR="00FD5CF2" w:rsidRPr="00374B6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II, wówczas koszty jego wynagrodzenia oraz związane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z zapewnieniem pracownikowi warunków pracy będą rozliczone </w:t>
      </w:r>
      <w:r w:rsidR="00531092" w:rsidRPr="00374B67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proporcjonalnie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2F7AAB" w14:textId="57A41803" w:rsidR="00FD5CF2" w:rsidRDefault="000553B3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74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przypadku gdy pracownik beneficjenta realizuje zadania na rzecz KSOW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w zakresie tzw. prac wspierających (np. wsparcie prawne, finansowe, prace związane z aplikacją o PT), wówczas koszty wynagrodzenia oraz związane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z zapewnieniem pracownikowi warunków pracy mogą być finansowane ze środków schematu 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81DDA5" w14:textId="5E6B2F8D" w:rsidR="000501C5" w:rsidRPr="00374B67" w:rsidRDefault="000501C5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gdy pracownik beneficjenta realizuje zadania w obszarze zarówno I</w:t>
      </w:r>
      <w:r w:rsidR="005310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jak i II schematu, z tym że proporcje realizacji zadań w ww. obs</w:t>
      </w:r>
      <w:r w:rsidR="002217E3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arach stanowią min. 95% do 5%, wtedy koszt realizacji tych zadań jest kwalifikowalny</w:t>
      </w:r>
      <w:r w:rsidR="002217E3">
        <w:rPr>
          <w:rFonts w:ascii="Times New Roman" w:eastAsia="Calibri" w:hAnsi="Times New Roman" w:cs="Times New Roman"/>
          <w:sz w:val="24"/>
          <w:szCs w:val="24"/>
        </w:rPr>
        <w:t xml:space="preserve"> ze środków schematu wiodącego.</w:t>
      </w:r>
    </w:p>
    <w:p w14:paraId="0320CF86" w14:textId="6F6CFC55" w:rsidR="00FF0188" w:rsidRPr="003E48AF" w:rsidRDefault="000553B3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74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przypadku gdy pracownik realizuje proporcjonalnie (50%/50%) zadania schematu I </w:t>
      </w:r>
      <w:proofErr w:type="spellStart"/>
      <w:r w:rsidR="00FD5CF2" w:rsidRPr="00374B6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="00531092">
        <w:rPr>
          <w:rFonts w:ascii="Times New Roman" w:eastAsia="Calibri" w:hAnsi="Times New Roman" w:cs="Times New Roman"/>
          <w:sz w:val="24"/>
          <w:szCs w:val="24"/>
        </w:rPr>
        <w:t>,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a zostaje skierowany na szkolenie/kurs z obszaru tzw. wiedzy ogólnej (np. kurs językowy, szkolenie z zakresu umiejętności interpersonalnych, umiejętności negocjacji, zarządzania stresem, zarządzania czasem, autoprezentacji), koszty te</w:t>
      </w:r>
      <w:r w:rsidR="00531092">
        <w:rPr>
          <w:rFonts w:ascii="Times New Roman" w:eastAsia="Calibri" w:hAnsi="Times New Roman" w:cs="Times New Roman"/>
          <w:sz w:val="24"/>
          <w:szCs w:val="24"/>
        </w:rPr>
        <w:t>go szkolenia</w:t>
      </w:r>
      <w:r w:rsidR="00531092" w:rsidRPr="00374B67">
        <w:rPr>
          <w:rFonts w:ascii="Times New Roman" w:eastAsia="Calibri" w:hAnsi="Times New Roman" w:cs="Times New Roman"/>
          <w:sz w:val="24"/>
          <w:szCs w:val="24"/>
        </w:rPr>
        <w:t>/kurs</w:t>
      </w:r>
      <w:r w:rsidR="00531092">
        <w:rPr>
          <w:rFonts w:ascii="Times New Roman" w:eastAsia="Calibri" w:hAnsi="Times New Roman" w:cs="Times New Roman"/>
          <w:sz w:val="24"/>
          <w:szCs w:val="24"/>
        </w:rPr>
        <w:t>u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winny być rozliczone proporcjonalnie (50%/50%); natomiast gdy szkolenie związane jest z pracą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w obszarze tylko jednego ze schematów, wtedy kwalifikowalne jest w 100% z tego schematu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2A5742" w14:textId="3AB62862" w:rsidR="004B7EA3" w:rsidRPr="005D1103" w:rsidRDefault="000553B3" w:rsidP="00B05DF0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przypadku gdy pracownik wnioskodawcy zostaje delegowany służbowo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w związku z realizacją zadań w obszarze danego schematu, całość kosztów delegacji należy rozliczyć w ramach tego schematu.</w:t>
      </w:r>
    </w:p>
    <w:p w14:paraId="23626E9F" w14:textId="77777777" w:rsidR="00EA73BF" w:rsidRPr="00161F89" w:rsidRDefault="0037124F" w:rsidP="00B05DF0">
      <w:pPr>
        <w:pStyle w:val="Nagwek1"/>
        <w:spacing w:before="60" w:after="60" w:line="276" w:lineRule="auto"/>
        <w:rPr>
          <w:color w:val="auto"/>
        </w:rPr>
      </w:pPr>
      <w:bookmarkStart w:id="8" w:name="_Toc10788491"/>
      <w:r w:rsidRPr="00161F89">
        <w:rPr>
          <w:color w:val="auto"/>
        </w:rPr>
        <w:t>VI</w:t>
      </w:r>
      <w:r w:rsidR="00FD5CF2">
        <w:rPr>
          <w:color w:val="auto"/>
        </w:rPr>
        <w:t>I</w:t>
      </w:r>
      <w:r w:rsidRPr="00161F89">
        <w:rPr>
          <w:color w:val="auto"/>
        </w:rPr>
        <w:t xml:space="preserve"> </w:t>
      </w:r>
      <w:r w:rsidR="00EA73BF" w:rsidRPr="00161F89">
        <w:rPr>
          <w:color w:val="auto"/>
        </w:rPr>
        <w:t>Koszty niekwalifikowalne w ramach PT PROW 2014-2020</w:t>
      </w:r>
      <w:bookmarkEnd w:id="8"/>
    </w:p>
    <w:p w14:paraId="123A961E" w14:textId="77777777" w:rsidR="00EA73BF" w:rsidRPr="00161F89" w:rsidRDefault="00EA73BF" w:rsidP="00B05DF0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szCs w:val="24"/>
        </w:rPr>
      </w:pPr>
      <w:r w:rsidRPr="00161F89">
        <w:rPr>
          <w:rFonts w:ascii="Times New Roman" w:hAnsi="Times New Roman" w:cs="Times New Roman"/>
          <w:szCs w:val="24"/>
        </w:rPr>
        <w:t xml:space="preserve">Do kosztów kwalifikowalnych nie zalicza się następujących kosztów: </w:t>
      </w:r>
    </w:p>
    <w:p w14:paraId="6C9DB3E5" w14:textId="77777777" w:rsidR="00EA73BF" w:rsidRPr="00B05DF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05DF0">
        <w:rPr>
          <w:rFonts w:ascii="Times New Roman" w:hAnsi="Times New Roman" w:cs="Times New Roman"/>
          <w:sz w:val="24"/>
          <w:szCs w:val="24"/>
        </w:rPr>
        <w:t>koszty nagród jubileuszowych;</w:t>
      </w:r>
    </w:p>
    <w:p w14:paraId="790B3E77" w14:textId="77777777" w:rsidR="00EA73BF" w:rsidRPr="00B05DF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05DF0">
        <w:rPr>
          <w:rFonts w:ascii="Times New Roman" w:hAnsi="Times New Roman" w:cs="Times New Roman"/>
          <w:sz w:val="24"/>
          <w:szCs w:val="24"/>
        </w:rPr>
        <w:t>koszty odpraw pracowniczych;</w:t>
      </w:r>
    </w:p>
    <w:p w14:paraId="576D8109" w14:textId="666C3A2B" w:rsidR="00525E80" w:rsidRPr="006C4DBE" w:rsidRDefault="00525E80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C4DBE">
        <w:rPr>
          <w:rFonts w:ascii="Times New Roman" w:hAnsi="Times New Roman" w:cs="Times New Roman"/>
          <w:sz w:val="24"/>
          <w:szCs w:val="24"/>
        </w:rPr>
        <w:t>wynagrodzenia wypłacanego w okresie wypowiedzenia bez obowiązku świadczenia pracy z wyłączeniem wynagrodzenia za czas urlopu wypoczynkowego;</w:t>
      </w:r>
    </w:p>
    <w:p w14:paraId="213246F4" w14:textId="2AD20DF0" w:rsidR="00125A6F" w:rsidRPr="006C4DBE" w:rsidRDefault="00125A6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C4DBE">
        <w:rPr>
          <w:rFonts w:ascii="Times New Roman" w:hAnsi="Times New Roman" w:cs="Times New Roman"/>
          <w:sz w:val="24"/>
          <w:szCs w:val="24"/>
        </w:rPr>
        <w:t>zakup środków transportu;</w:t>
      </w:r>
    </w:p>
    <w:p w14:paraId="20D8C12E" w14:textId="79C4FF0A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związane z umową</w:t>
      </w:r>
      <w:r w:rsidR="00531092">
        <w:rPr>
          <w:rFonts w:ascii="Times New Roman" w:hAnsi="Times New Roman" w:cs="Times New Roman"/>
          <w:sz w:val="24"/>
          <w:szCs w:val="24"/>
        </w:rPr>
        <w:t xml:space="preserve"> </w:t>
      </w:r>
      <w:r w:rsidRPr="00DD0500">
        <w:rPr>
          <w:rFonts w:ascii="Times New Roman" w:hAnsi="Times New Roman" w:cs="Times New Roman"/>
          <w:sz w:val="24"/>
          <w:szCs w:val="24"/>
        </w:rPr>
        <w:t>leasingu środków transportu, zakończonego przeniesieniem prawa własności tych środków transportu;</w:t>
      </w:r>
    </w:p>
    <w:p w14:paraId="3677C094" w14:textId="77777777" w:rsidR="00125A6F" w:rsidRPr="00DD0500" w:rsidRDefault="00125A6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wydatki na ulepszanie środków transportu;</w:t>
      </w:r>
    </w:p>
    <w:p w14:paraId="2B23B074" w14:textId="4E3E8157" w:rsidR="00125A6F" w:rsidRPr="00DD0500" w:rsidRDefault="00125A6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alkoholu</w:t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, z wyjątkiem alkoholu wpisanego na listę produktów tradycyjnych,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o której mowa w przepisach ustawy z dnia 17 grudnia 2004 r. o rejestracji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i ochronie nazw i oznaczeń produktów rolnych i środków spożywczych oraz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o produktach tradycyjnych (Dz. U. z </w:t>
      </w:r>
      <w:r w:rsidR="00531092">
        <w:rPr>
          <w:rFonts w:ascii="Times New Roman" w:hAnsi="Times New Roman" w:cs="Times New Roman"/>
          <w:sz w:val="24"/>
          <w:szCs w:val="24"/>
        </w:rPr>
        <w:t>2019</w:t>
      </w:r>
      <w:r w:rsidR="00531092" w:rsidRPr="00DD0500" w:rsidDel="00F5240A">
        <w:rPr>
          <w:rFonts w:ascii="Times New Roman" w:hAnsi="Times New Roman" w:cs="Times New Roman"/>
          <w:sz w:val="24"/>
          <w:szCs w:val="24"/>
        </w:rPr>
        <w:t xml:space="preserve"> </w:t>
      </w:r>
      <w:r w:rsidRPr="00DD0500" w:rsidDel="00F5240A">
        <w:rPr>
          <w:rFonts w:ascii="Times New Roman" w:hAnsi="Times New Roman" w:cs="Times New Roman"/>
          <w:sz w:val="24"/>
          <w:szCs w:val="24"/>
        </w:rPr>
        <w:t>r. poz.</w:t>
      </w:r>
      <w:r w:rsidR="00531092">
        <w:rPr>
          <w:rFonts w:ascii="Times New Roman" w:hAnsi="Times New Roman" w:cs="Times New Roman"/>
          <w:sz w:val="24"/>
          <w:szCs w:val="24"/>
        </w:rPr>
        <w:t xml:space="preserve"> 915</w:t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), kupionego w celach </w:t>
      </w:r>
      <w:r w:rsidRPr="00DD0500" w:rsidDel="00F5240A">
        <w:rPr>
          <w:rFonts w:ascii="Times New Roman" w:hAnsi="Times New Roman" w:cs="Times New Roman"/>
          <w:sz w:val="24"/>
          <w:szCs w:val="24"/>
        </w:rPr>
        <w:lastRenderedPageBreak/>
        <w:t>promocji dziedzictwa kulturowego regionu, w którym jest wytwarzany, w związku z realizacją operacji w ramach dwuletnich planów operacyjnych, o których mowa w art. 55 ust. 2 pkt 2 ustawy</w:t>
      </w:r>
      <w:r w:rsidRPr="00DD0500">
        <w:rPr>
          <w:rFonts w:ascii="Times New Roman" w:hAnsi="Times New Roman" w:cs="Times New Roman"/>
          <w:sz w:val="24"/>
          <w:szCs w:val="24"/>
        </w:rPr>
        <w:t>;</w:t>
      </w:r>
    </w:p>
    <w:p w14:paraId="13351EF2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poniesione na podstawie umowy cywilnoprawnej zawartej przez podmiot uprawniony z pracownikiem tego podmiotu;</w:t>
      </w:r>
    </w:p>
    <w:p w14:paraId="77F0E45B" w14:textId="44CB6048" w:rsidR="004840D0" w:rsidRPr="00DD0500" w:rsidRDefault="004840D0" w:rsidP="003D24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dostaw i usług poniesionych na podstawie umowy cywilnoprawnej zawartej przez partnera KSOW ze swoim pracownikiem o wartości</w:t>
      </w:r>
      <w:r w:rsidR="003D24A1">
        <w:rPr>
          <w:rFonts w:ascii="Times New Roman" w:hAnsi="Times New Roman" w:cs="Times New Roman"/>
          <w:sz w:val="24"/>
          <w:szCs w:val="24"/>
        </w:rPr>
        <w:t xml:space="preserve"> brutto</w:t>
      </w:r>
      <w:r w:rsidRPr="00DD0500">
        <w:rPr>
          <w:rFonts w:ascii="Times New Roman" w:hAnsi="Times New Roman" w:cs="Times New Roman"/>
          <w:sz w:val="24"/>
          <w:szCs w:val="24"/>
        </w:rPr>
        <w:t xml:space="preserve"> zamówienia przekraczającej </w:t>
      </w:r>
      <w:r w:rsidR="003D24A1" w:rsidRPr="003D24A1">
        <w:rPr>
          <w:rFonts w:ascii="Times New Roman" w:hAnsi="Times New Roman" w:cs="Times New Roman"/>
          <w:sz w:val="24"/>
          <w:szCs w:val="24"/>
        </w:rPr>
        <w:t xml:space="preserve">kwotę, o której mowa w art. 43a ust. 5 ustawy ROW (w przypadku umowy cywilnoprawnej z osobą fizyczną, gdy wartość zamówienia nie jest objęta podatkiem VAT, a jest objęta innymi podatkami, w tym podatkiem dochodowym,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3D24A1" w:rsidRPr="003D24A1">
        <w:rPr>
          <w:rFonts w:ascii="Times New Roman" w:hAnsi="Times New Roman" w:cs="Times New Roman"/>
          <w:sz w:val="24"/>
          <w:szCs w:val="24"/>
        </w:rPr>
        <w:t xml:space="preserve">a także, jeżeli wynika to z przepisów prawa, składkami na ubezpieczenia społeczne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3D24A1" w:rsidRPr="003D24A1">
        <w:rPr>
          <w:rFonts w:ascii="Times New Roman" w:hAnsi="Times New Roman" w:cs="Times New Roman"/>
          <w:sz w:val="24"/>
          <w:szCs w:val="24"/>
        </w:rPr>
        <w:t>i zdrowotne, koszt netto równa się kosztowi brutto)</w:t>
      </w:r>
      <w:r w:rsidRPr="00DD05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756AF8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kursu języka obcego na poziomie A1 zgodnie z Europejskim Systemem Opisu Kształcenia Językowego;</w:t>
      </w:r>
    </w:p>
    <w:p w14:paraId="0695AC4D" w14:textId="7B17E239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 xml:space="preserve">koszty poniesione przez Prezesa Urzędu Zamówień Publicznych w związku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DD0500">
        <w:rPr>
          <w:rFonts w:ascii="Times New Roman" w:hAnsi="Times New Roman" w:cs="Times New Roman"/>
          <w:sz w:val="24"/>
          <w:szCs w:val="24"/>
        </w:rPr>
        <w:t>z kontrolą operacji realizowanych przez Urząd Zamówień Publicznych w ramach pomocy technicznej;</w:t>
      </w:r>
    </w:p>
    <w:p w14:paraId="36FFB15B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nieruchomości;</w:t>
      </w:r>
    </w:p>
    <w:p w14:paraId="0A43D06C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 xml:space="preserve">koszty remontów i modernizacji </w:t>
      </w:r>
      <w:proofErr w:type="spellStart"/>
      <w:r w:rsidRPr="00DD0500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DD0500">
        <w:rPr>
          <w:rFonts w:ascii="Times New Roman" w:hAnsi="Times New Roman" w:cs="Times New Roman"/>
          <w:sz w:val="24"/>
          <w:szCs w:val="24"/>
        </w:rPr>
        <w:t xml:space="preserve"> konferencyjnych;</w:t>
      </w:r>
    </w:p>
    <w:p w14:paraId="669F62F9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składki na Państwowy Fundusz Rehabilitacji Osób Niepełnosprawnych (PFRON);</w:t>
      </w:r>
    </w:p>
    <w:p w14:paraId="0BA4DCF3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odpisy na Zakładowy Fundusz Świadczeń Socjalnych, świadczenia finansowane ze środków ZFŚS;</w:t>
      </w:r>
    </w:p>
    <w:p w14:paraId="4EBD1EBC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czajników;</w:t>
      </w:r>
    </w:p>
    <w:p w14:paraId="4850DE93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ekspresów do kawy;</w:t>
      </w:r>
    </w:p>
    <w:p w14:paraId="617783CB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kuchenek mikrofalowych;</w:t>
      </w:r>
    </w:p>
    <w:p w14:paraId="4107ED25" w14:textId="77777777" w:rsidR="00EA73BF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lodówek;</w:t>
      </w:r>
    </w:p>
    <w:p w14:paraId="68217B95" w14:textId="4B373A57" w:rsidR="00E422BC" w:rsidRPr="00DD0500" w:rsidRDefault="00E422BC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naprawa sprzętu typu AGD (czajnik, ekspres do kawy, kuchenka mikrofalowa, </w:t>
      </w:r>
      <w:r w:rsidR="00D9746B">
        <w:rPr>
          <w:rFonts w:ascii="Times New Roman" w:hAnsi="Times New Roman" w:cs="Times New Roman"/>
          <w:sz w:val="24"/>
          <w:szCs w:val="24"/>
        </w:rPr>
        <w:t>lodówka</w:t>
      </w:r>
      <w:r>
        <w:rPr>
          <w:rFonts w:ascii="Times New Roman" w:hAnsi="Times New Roman" w:cs="Times New Roman"/>
          <w:sz w:val="24"/>
          <w:szCs w:val="24"/>
        </w:rPr>
        <w:t xml:space="preserve"> itp.)</w:t>
      </w:r>
      <w:r w:rsidR="006B6441">
        <w:rPr>
          <w:rFonts w:ascii="Times New Roman" w:hAnsi="Times New Roman" w:cs="Times New Roman"/>
          <w:sz w:val="24"/>
          <w:szCs w:val="24"/>
        </w:rPr>
        <w:t>;</w:t>
      </w:r>
    </w:p>
    <w:p w14:paraId="678EE67B" w14:textId="4E972048" w:rsidR="00EA73BF" w:rsidRPr="006C4DBE" w:rsidRDefault="00D90AE1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C4DBE">
        <w:rPr>
          <w:rFonts w:ascii="Times New Roman" w:hAnsi="Times New Roman" w:cs="Times New Roman"/>
          <w:sz w:val="24"/>
          <w:szCs w:val="24"/>
        </w:rPr>
        <w:t xml:space="preserve">zakup wieszaków na odzież itp. </w:t>
      </w:r>
      <w:r w:rsidR="000E0127">
        <w:rPr>
          <w:rFonts w:ascii="Times New Roman" w:hAnsi="Times New Roman" w:cs="Times New Roman"/>
          <w:sz w:val="24"/>
          <w:szCs w:val="24"/>
        </w:rPr>
        <w:t xml:space="preserve">(wyjątek </w:t>
      </w:r>
      <w:r w:rsidR="00EA08BA">
        <w:rPr>
          <w:rFonts w:ascii="Times New Roman" w:hAnsi="Times New Roman" w:cs="Times New Roman"/>
          <w:sz w:val="24"/>
          <w:szCs w:val="24"/>
        </w:rPr>
        <w:t>stanowi zakup</w:t>
      </w:r>
      <w:r w:rsidR="000E0127">
        <w:rPr>
          <w:rFonts w:ascii="Times New Roman" w:hAnsi="Times New Roman" w:cs="Times New Roman"/>
          <w:sz w:val="24"/>
          <w:szCs w:val="24"/>
        </w:rPr>
        <w:t xml:space="preserve"> </w:t>
      </w:r>
      <w:r w:rsidR="00EA08BA">
        <w:rPr>
          <w:rFonts w:ascii="Times New Roman" w:hAnsi="Times New Roman" w:cs="Times New Roman"/>
          <w:sz w:val="24"/>
          <w:szCs w:val="24"/>
        </w:rPr>
        <w:t>wieszaków ubraniowych ściennych lub</w:t>
      </w:r>
      <w:r w:rsidR="000E0127">
        <w:rPr>
          <w:rFonts w:ascii="Times New Roman" w:hAnsi="Times New Roman" w:cs="Times New Roman"/>
          <w:sz w:val="24"/>
          <w:szCs w:val="24"/>
        </w:rPr>
        <w:t xml:space="preserve"> </w:t>
      </w:r>
      <w:r w:rsidR="00EA08BA">
        <w:rPr>
          <w:rFonts w:ascii="Times New Roman" w:hAnsi="Times New Roman" w:cs="Times New Roman"/>
          <w:sz w:val="24"/>
          <w:szCs w:val="24"/>
        </w:rPr>
        <w:t>stojących</w:t>
      </w:r>
      <w:r w:rsidR="002314D0">
        <w:rPr>
          <w:rFonts w:ascii="Times New Roman" w:hAnsi="Times New Roman" w:cs="Times New Roman"/>
          <w:sz w:val="24"/>
          <w:szCs w:val="24"/>
        </w:rPr>
        <w:t xml:space="preserve"> w sytuacji, gdy </w:t>
      </w:r>
      <w:r w:rsidR="00363DB2">
        <w:rPr>
          <w:rFonts w:ascii="Times New Roman" w:hAnsi="Times New Roman" w:cs="Times New Roman"/>
          <w:sz w:val="24"/>
          <w:szCs w:val="24"/>
        </w:rPr>
        <w:t xml:space="preserve">dane pomieszczenie nie posiada </w:t>
      </w:r>
      <w:r w:rsidR="00BD4070">
        <w:rPr>
          <w:rFonts w:ascii="Times New Roman" w:hAnsi="Times New Roman" w:cs="Times New Roman"/>
          <w:sz w:val="24"/>
          <w:szCs w:val="24"/>
        </w:rPr>
        <w:br/>
      </w:r>
      <w:r w:rsidR="00363DB2">
        <w:rPr>
          <w:rFonts w:ascii="Times New Roman" w:hAnsi="Times New Roman" w:cs="Times New Roman"/>
          <w:sz w:val="24"/>
          <w:szCs w:val="24"/>
        </w:rPr>
        <w:t xml:space="preserve">w </w:t>
      </w:r>
      <w:r w:rsidR="00BF14F2">
        <w:rPr>
          <w:rFonts w:ascii="Times New Roman" w:hAnsi="Times New Roman" w:cs="Times New Roman"/>
          <w:sz w:val="24"/>
          <w:szCs w:val="24"/>
        </w:rPr>
        <w:t>zakresie swojego wyposażenia</w:t>
      </w:r>
      <w:r w:rsidR="00C4528A">
        <w:rPr>
          <w:rFonts w:ascii="Times New Roman" w:hAnsi="Times New Roman" w:cs="Times New Roman"/>
          <w:sz w:val="24"/>
          <w:szCs w:val="24"/>
        </w:rPr>
        <w:t xml:space="preserve"> szafy ubraniowej);</w:t>
      </w:r>
    </w:p>
    <w:p w14:paraId="702CF757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odbiorników radiofonicznych i telewizyjnych oraz opłacanie abonamentu za ich użytkowanie;</w:t>
      </w:r>
    </w:p>
    <w:p w14:paraId="0819ABB6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bonów towarowych;</w:t>
      </w:r>
    </w:p>
    <w:p w14:paraId="5BDD1632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legitymacji kolejowych;</w:t>
      </w:r>
    </w:p>
    <w:p w14:paraId="71A9C583" w14:textId="77777777" w:rsidR="00512F29" w:rsidRDefault="00374B67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różnic kursowych</w:t>
      </w:r>
      <w:r w:rsidR="00512F29">
        <w:rPr>
          <w:rFonts w:ascii="Times New Roman" w:hAnsi="Times New Roman" w:cs="Times New Roman"/>
          <w:sz w:val="24"/>
          <w:szCs w:val="24"/>
        </w:rPr>
        <w:t xml:space="preserve"> z następującym zastrzeżeniem:</w:t>
      </w:r>
    </w:p>
    <w:p w14:paraId="3D81998A" w14:textId="14D10588" w:rsidR="0093593B" w:rsidRPr="005D1103" w:rsidRDefault="00964612" w:rsidP="005D110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D110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3593B" w:rsidRPr="005D1103">
        <w:rPr>
          <w:rFonts w:ascii="Times New Roman" w:hAnsi="Times New Roman" w:cs="Times New Roman"/>
          <w:color w:val="000000"/>
          <w:sz w:val="24"/>
          <w:szCs w:val="24"/>
        </w:rPr>
        <w:t xml:space="preserve">óżnice kursowe powstają, gdy poniesiony koszt w walucie obcej </w:t>
      </w:r>
      <w:r w:rsidR="004155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color w:val="000000"/>
          <w:sz w:val="24"/>
          <w:szCs w:val="24"/>
        </w:rPr>
        <w:t xml:space="preserve">po przeliczeniu na złotówki (po kursie faktycznie zastosowanym przez bank obsługujący beneficjenta) jest wyższy lub niższy od wartości tego kosztu </w:t>
      </w:r>
      <w:r w:rsidR="00BE498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color w:val="000000"/>
          <w:sz w:val="24"/>
          <w:szCs w:val="24"/>
        </w:rPr>
        <w:t xml:space="preserve">w dniu zapłaty przeliczonego według faktycznie zastosowanego kursu z tego dnia. </w:t>
      </w:r>
      <w:r w:rsidR="0093593B" w:rsidRPr="005D1103">
        <w:rPr>
          <w:rFonts w:ascii="Times New Roman" w:hAnsi="Times New Roman" w:cs="Times New Roman"/>
          <w:sz w:val="24"/>
          <w:szCs w:val="24"/>
        </w:rPr>
        <w:t>Ponadto dowodem poniesienia przedmiotowego kosztu jest opłacona faktura lub inny dokument księgowy o</w:t>
      </w:r>
      <w:r w:rsidR="00531092">
        <w:rPr>
          <w:rFonts w:ascii="Times New Roman" w:hAnsi="Times New Roman" w:cs="Times New Roman"/>
          <w:sz w:val="24"/>
          <w:szCs w:val="24"/>
        </w:rPr>
        <w:t xml:space="preserve"> 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równoważnej wartości dowodowej wraz z dowodami zapłaty. Z tego względu za koszt kwalifikowalny należy uznać koszt rzeczywiście poniesiony, a co za tym idzie fakturę lub rachunek </w:t>
      </w:r>
      <w:r w:rsidR="0093593B" w:rsidRPr="005D1103">
        <w:rPr>
          <w:rFonts w:ascii="Times New Roman" w:hAnsi="Times New Roman" w:cs="Times New Roman"/>
          <w:sz w:val="24"/>
          <w:szCs w:val="24"/>
        </w:rPr>
        <w:lastRenderedPageBreak/>
        <w:t>zapłacony w wysokości na jaką opiewa.</w:t>
      </w:r>
      <w:r w:rsidRPr="005D1103">
        <w:rPr>
          <w:rFonts w:ascii="Times New Roman" w:hAnsi="Times New Roman" w:cs="Times New Roman"/>
          <w:sz w:val="24"/>
          <w:szCs w:val="24"/>
        </w:rPr>
        <w:t xml:space="preserve"> </w:t>
      </w:r>
      <w:r w:rsidR="0093593B" w:rsidRPr="005D1103">
        <w:rPr>
          <w:rFonts w:ascii="Times New Roman" w:hAnsi="Times New Roman" w:cs="Times New Roman"/>
          <w:sz w:val="24"/>
          <w:szCs w:val="24"/>
        </w:rPr>
        <w:t>Uwzględniając powyższe</w:t>
      </w:r>
      <w:r w:rsidR="00531092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należy zauważyć, że nadrzędną zasadą, którą winni kierować się beneficjenci pomocy technicznej PROW 2014</w:t>
      </w:r>
      <w:r w:rsidR="00531092">
        <w:rPr>
          <w:rFonts w:ascii="Times New Roman" w:hAnsi="Times New Roman" w:cs="Times New Roman"/>
          <w:sz w:val="24"/>
          <w:szCs w:val="24"/>
        </w:rPr>
        <w:t>–</w:t>
      </w:r>
      <w:r w:rsidR="0093593B" w:rsidRPr="005D1103">
        <w:rPr>
          <w:rFonts w:ascii="Times New Roman" w:hAnsi="Times New Roman" w:cs="Times New Roman"/>
          <w:sz w:val="24"/>
          <w:szCs w:val="24"/>
        </w:rPr>
        <w:t>2020</w:t>
      </w:r>
      <w:r w:rsidR="00531092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rozliczając faktury wystawione w walutach obcych</w:t>
      </w:r>
      <w:r w:rsidR="00531092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jest zasada faktycznego poniesienia wydatku. Przeliczenie faktur wystawionych w walutach obcych powinno być zgodne z art. 30 ustawy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sz w:val="24"/>
          <w:szCs w:val="24"/>
        </w:rPr>
        <w:t>o rachunkowości (Dz. U. z 201</w:t>
      </w:r>
      <w:r w:rsidR="00B410DE">
        <w:rPr>
          <w:rFonts w:ascii="Times New Roman" w:hAnsi="Times New Roman" w:cs="Times New Roman"/>
          <w:sz w:val="24"/>
          <w:szCs w:val="24"/>
        </w:rPr>
        <w:t>9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r. poz. 35</w:t>
      </w:r>
      <w:r w:rsidR="00B410DE">
        <w:rPr>
          <w:rFonts w:ascii="Times New Roman" w:hAnsi="Times New Roman" w:cs="Times New Roman"/>
          <w:sz w:val="24"/>
          <w:szCs w:val="24"/>
        </w:rPr>
        <w:t>1</w:t>
      </w:r>
      <w:r w:rsidR="0093593B" w:rsidRPr="005D1103">
        <w:rPr>
          <w:rFonts w:ascii="Times New Roman" w:hAnsi="Times New Roman" w:cs="Times New Roman"/>
          <w:sz w:val="24"/>
          <w:szCs w:val="24"/>
        </w:rPr>
        <w:t>). Zatem koszt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by mógł być uznany za kwalifikowalny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musi być rzeczywiście poniesiony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tj. przeliczony zgodnie z ustawą o rachunkowości po kursie faktycznie zastosowanym w tym dniu, wynikającym z charakteru operacji – w przypadku sprzedaży lub kupna walut oraz zapłaty należności lub zobowiązań. W sytuacji płatności bezgotówkowych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za koszt, który będzie mógł podlegać refundacji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uznana będzie kwota będąca równoważnością kwoty obciążającej beneficjenta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sz w:val="24"/>
          <w:szCs w:val="24"/>
        </w:rPr>
        <w:t>w walucie obcej, przyjmując kurs faktycznie zastosowany przez bank obsługujący beneficjenta w dniu dokonania przelewu. W przypadku gdy nie jest możliwe zastosowanie kursu sprzedaży danego banku, wydatki kwalifikowalne poniesione w walucie obcej należy przeliczyć po innym kursie, zgodnym z  obowiązującymi przepisami prawa oraz obowiązującą polityką rachunkowości beneficjenta.</w:t>
      </w:r>
    </w:p>
    <w:p w14:paraId="3A2FD7B8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wkład rzeczowy, o którym mowa w art. 61 ust. 3 rozporządzenia nr 1305/2013;</w:t>
      </w:r>
    </w:p>
    <w:p w14:paraId="58737014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podręcznik do nauki języka/studiów podyplomowych</w:t>
      </w:r>
      <w:r w:rsidR="00A06040" w:rsidRPr="00DD0500">
        <w:rPr>
          <w:rFonts w:ascii="Times New Roman" w:hAnsi="Times New Roman" w:cs="Times New Roman"/>
          <w:sz w:val="24"/>
          <w:szCs w:val="24"/>
        </w:rPr>
        <w:t>;</w:t>
      </w:r>
    </w:p>
    <w:p w14:paraId="5F9F9EFB" w14:textId="77777777" w:rsidR="00007155" w:rsidRPr="00DD0500" w:rsidRDefault="00F81C2D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</w:t>
      </w:r>
      <w:r w:rsidR="00007155" w:rsidRPr="00DD0500">
        <w:rPr>
          <w:rFonts w:ascii="Times New Roman" w:hAnsi="Times New Roman" w:cs="Times New Roman"/>
          <w:sz w:val="24"/>
          <w:szCs w:val="24"/>
        </w:rPr>
        <w:t>oszty składek członkowskich podmiotów uprawnionych w organizacjach działających na rzecz rozwoju obszarów wiejskich (</w:t>
      </w:r>
      <w:r w:rsidR="00B63DF8" w:rsidRPr="00DD0500">
        <w:rPr>
          <w:rFonts w:ascii="Times New Roman" w:hAnsi="Times New Roman" w:cs="Times New Roman"/>
          <w:sz w:val="24"/>
          <w:szCs w:val="24"/>
        </w:rPr>
        <w:t>od dnia 18</w:t>
      </w:r>
      <w:r w:rsidRPr="00DD0500">
        <w:rPr>
          <w:rFonts w:ascii="Times New Roman" w:hAnsi="Times New Roman" w:cs="Times New Roman"/>
          <w:sz w:val="24"/>
          <w:szCs w:val="24"/>
        </w:rPr>
        <w:t xml:space="preserve"> stycznia 2017 r.)</w:t>
      </w:r>
      <w:r w:rsidR="00B46CD4" w:rsidRPr="00DD0500">
        <w:rPr>
          <w:rFonts w:ascii="Times New Roman" w:hAnsi="Times New Roman" w:cs="Times New Roman"/>
          <w:sz w:val="24"/>
          <w:szCs w:val="24"/>
        </w:rPr>
        <w:t>;</w:t>
      </w:r>
    </w:p>
    <w:p w14:paraId="09A2FCB9" w14:textId="192BEBFA" w:rsidR="00C055F8" w:rsidRDefault="00B46CD4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zasiłki finansowane ze środków ZUS (w tym zasiłek chorobowy, macierzyński, opiekuńczy oraz wyrównanie tych zasiłków), świadczenia rehabilitacyjne</w:t>
      </w:r>
      <w:r w:rsidR="00C055F8">
        <w:rPr>
          <w:rFonts w:ascii="Times New Roman" w:hAnsi="Times New Roman" w:cs="Times New Roman"/>
          <w:sz w:val="24"/>
          <w:szCs w:val="24"/>
        </w:rPr>
        <w:t>;</w:t>
      </w:r>
    </w:p>
    <w:p w14:paraId="4CC5EA25" w14:textId="1A128F69" w:rsidR="00B46CD4" w:rsidRPr="00027DC0" w:rsidRDefault="006C4DBE" w:rsidP="00027DC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7DC0">
        <w:rPr>
          <w:rFonts w:ascii="Times New Roman" w:hAnsi="Times New Roman" w:cs="Times New Roman"/>
          <w:sz w:val="24"/>
          <w:szCs w:val="24"/>
        </w:rPr>
        <w:t>koszty oprawy muzycznej/artystycznej podczas realizacji operacji, na które składają się w szczególności koszty wynagrodzenia artysty, wynajmu sceny, nagłośnienia, oświetlenia, agregatów prądotwórczych. Jeżeli koszty realizowanej operacji poniesione na oprawę muzyczną/artystyczną spełnią trzy przesłanki kwalifikowalności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Pr="00027DC0">
        <w:rPr>
          <w:rFonts w:ascii="Times New Roman" w:hAnsi="Times New Roman" w:cs="Times New Roman"/>
          <w:sz w:val="24"/>
          <w:szCs w:val="24"/>
        </w:rPr>
        <w:t xml:space="preserve"> tj.: będą uzasadnione zakresem operacji, 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27DC0">
        <w:rPr>
          <w:rFonts w:ascii="Times New Roman" w:hAnsi="Times New Roman" w:cs="Times New Roman"/>
          <w:sz w:val="24"/>
          <w:szCs w:val="24"/>
        </w:rPr>
        <w:t xml:space="preserve">do osiągnięcia jej celu oraz racjonalne, wtedy mogą zostać uznane za kwalifikowalne </w:t>
      </w:r>
      <w:r w:rsidR="00B410DE">
        <w:rPr>
          <w:rFonts w:ascii="Times New Roman" w:hAnsi="Times New Roman" w:cs="Times New Roman"/>
          <w:sz w:val="24"/>
          <w:szCs w:val="24"/>
        </w:rPr>
        <w:t>(</w:t>
      </w:r>
      <w:r w:rsidRPr="00027DC0">
        <w:rPr>
          <w:rFonts w:ascii="Times New Roman" w:hAnsi="Times New Roman" w:cs="Times New Roman"/>
          <w:sz w:val="24"/>
          <w:szCs w:val="24"/>
        </w:rPr>
        <w:t>mogą to być np. występy zespołów ludowych/folklorystycznych i inne promujące dziedzictwo historyczne i kulturowe danego obszaru oraz regionalne tradycje, zwyczaje i obrzędy czy też pokazy kulinarne, jeżeli występy te stanowiły merytoryczną część operacji</w:t>
      </w:r>
      <w:r w:rsidR="00B410DE">
        <w:rPr>
          <w:rFonts w:ascii="Times New Roman" w:hAnsi="Times New Roman" w:cs="Times New Roman"/>
          <w:sz w:val="24"/>
          <w:szCs w:val="24"/>
        </w:rPr>
        <w:t>)</w:t>
      </w:r>
      <w:r w:rsidRPr="00027DC0">
        <w:rPr>
          <w:rFonts w:ascii="Times New Roman" w:hAnsi="Times New Roman" w:cs="Times New Roman"/>
          <w:sz w:val="24"/>
          <w:szCs w:val="24"/>
        </w:rPr>
        <w:t xml:space="preserve">. W przypadku gdy koszty oprawy muzycznej/artystycznej będą ponoszone zarówno na część </w:t>
      </w:r>
      <w:proofErr w:type="spellStart"/>
      <w:r w:rsidRPr="00027DC0">
        <w:rPr>
          <w:rFonts w:ascii="Times New Roman" w:hAnsi="Times New Roman" w:cs="Times New Roman"/>
          <w:sz w:val="24"/>
          <w:szCs w:val="24"/>
        </w:rPr>
        <w:t>niemerytoryczną</w:t>
      </w:r>
      <w:proofErr w:type="spellEnd"/>
      <w:r w:rsidRPr="00027DC0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27DC0">
        <w:rPr>
          <w:rFonts w:ascii="Times New Roman" w:hAnsi="Times New Roman" w:cs="Times New Roman"/>
          <w:sz w:val="24"/>
          <w:szCs w:val="24"/>
        </w:rPr>
        <w:t>(np. tylko do uświetnienia realizowanej operacji)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Pr="00027DC0">
        <w:rPr>
          <w:rFonts w:ascii="Times New Roman" w:hAnsi="Times New Roman" w:cs="Times New Roman"/>
          <w:sz w:val="24"/>
          <w:szCs w:val="24"/>
        </w:rPr>
        <w:t xml:space="preserve"> jak i na merytoryczną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Pr="00027DC0">
        <w:rPr>
          <w:rFonts w:ascii="Times New Roman" w:hAnsi="Times New Roman" w:cs="Times New Roman"/>
          <w:sz w:val="24"/>
          <w:szCs w:val="24"/>
        </w:rPr>
        <w:t xml:space="preserve"> wówczas należy je wyliczyć proporcjonalnie,</w:t>
      </w:r>
      <w:r w:rsidR="00B410DE">
        <w:rPr>
          <w:rFonts w:ascii="Times New Roman" w:hAnsi="Times New Roman" w:cs="Times New Roman"/>
          <w:sz w:val="24"/>
          <w:szCs w:val="24"/>
        </w:rPr>
        <w:t xml:space="preserve"> a</w:t>
      </w:r>
      <w:r w:rsidRPr="00027DC0">
        <w:rPr>
          <w:rFonts w:ascii="Times New Roman" w:hAnsi="Times New Roman" w:cs="Times New Roman"/>
          <w:sz w:val="24"/>
          <w:szCs w:val="24"/>
        </w:rPr>
        <w:t xml:space="preserve"> za kwalifikowalne zostaną uznane koszty dotyczące tylko części merytorycznej.</w:t>
      </w:r>
    </w:p>
    <w:p w14:paraId="3A8313E7" w14:textId="7DACAA15" w:rsidR="005D1103" w:rsidRDefault="00CC68B3" w:rsidP="005D1103">
      <w:pPr>
        <w:autoSpaceDE w:val="0"/>
        <w:autoSpaceDN w:val="0"/>
        <w:adjustRightInd w:val="0"/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4754">
        <w:rPr>
          <w:rFonts w:ascii="Times New Roman" w:hAnsi="Times New Roman" w:cs="Times New Roman"/>
          <w:sz w:val="24"/>
          <w:szCs w:val="24"/>
        </w:rPr>
        <w:t>K</w:t>
      </w:r>
      <w:r w:rsidR="00BF3A78" w:rsidRPr="00474754">
        <w:rPr>
          <w:rFonts w:ascii="Times New Roman" w:hAnsi="Times New Roman" w:cs="Times New Roman"/>
          <w:sz w:val="24"/>
          <w:szCs w:val="24"/>
        </w:rPr>
        <w:t xml:space="preserve">oszty poniesione w związku z wydarzeniami, które ostatecznie nie doszły do skutku (np. odwołane podróże służbowe, niezrealizowane szkolenia indywidualne), stanowią koszty niekwalifikowalne </w:t>
      </w:r>
      <w:r w:rsidR="00BF3A78" w:rsidRPr="00D36CE6">
        <w:rPr>
          <w:rFonts w:ascii="Times New Roman" w:hAnsi="Times New Roman" w:cs="Times New Roman"/>
          <w:sz w:val="24"/>
          <w:szCs w:val="24"/>
          <w:u w:val="single"/>
        </w:rPr>
        <w:t>z wyjątkiem sytuacji</w:t>
      </w:r>
      <w:r w:rsidR="00BF3A78" w:rsidRPr="00D36CE6">
        <w:rPr>
          <w:rFonts w:ascii="Times New Roman" w:hAnsi="Times New Roman" w:cs="Times New Roman"/>
          <w:sz w:val="24"/>
          <w:szCs w:val="24"/>
        </w:rPr>
        <w:t xml:space="preserve">, w której przyczyną ich niezrealizowania było działanie siły wyższej, definiowanej jako zdarzenie zewnętrzne, niemożliwe (lub prawie niemożliwe) do przewidzenia, którego skutkom nie można zapobiec np. powodzie, </w:t>
      </w:r>
      <w:r w:rsidR="00BF3A78" w:rsidRPr="00D36CE6">
        <w:rPr>
          <w:rFonts w:ascii="Times New Roman" w:hAnsi="Times New Roman" w:cs="Times New Roman"/>
          <w:sz w:val="24"/>
          <w:szCs w:val="24"/>
        </w:rPr>
        <w:lastRenderedPageBreak/>
        <w:t>poż</w:t>
      </w:r>
      <w:r w:rsidR="00BF3A78" w:rsidRPr="00474754">
        <w:rPr>
          <w:rFonts w:ascii="Times New Roman" w:hAnsi="Times New Roman" w:cs="Times New Roman"/>
          <w:sz w:val="24"/>
          <w:szCs w:val="24"/>
        </w:rPr>
        <w:t>ary, wybuchy wulkanów, zamieszki, strajki. Rozliczenie takich wydatków będzie możliwe za zgodą Agencji Płatniczej po indywidualnej analizie przypadku.</w:t>
      </w:r>
    </w:p>
    <w:p w14:paraId="4431FC19" w14:textId="112B059D" w:rsidR="0060780B" w:rsidRPr="005D1103" w:rsidRDefault="000F71E9" w:rsidP="005D1103">
      <w:pPr>
        <w:autoSpaceDE w:val="0"/>
        <w:autoSpaceDN w:val="0"/>
        <w:adjustRightInd w:val="0"/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103">
        <w:rPr>
          <w:rFonts w:ascii="Times New Roman" w:hAnsi="Times New Roman" w:cs="Times New Roman"/>
          <w:sz w:val="24"/>
          <w:szCs w:val="24"/>
        </w:rPr>
        <w:t>Jeżeli usługi, towary i inne dobra, których koszt został wymieniony na liście kosztów niekwalifikowalnych, zostaną zakupione jako nagrody w konkursie w ramach operacji realizowanej w planie operacyjnym, koszt takiego zakupu może zostać uznany za kwalifikowalny.</w:t>
      </w:r>
    </w:p>
    <w:p w14:paraId="5FB47C55" w14:textId="0FCE48E4" w:rsidR="00EA73BF" w:rsidRPr="00027DC0" w:rsidRDefault="0037124F" w:rsidP="002A2E6A">
      <w:pPr>
        <w:pStyle w:val="Nagwek1"/>
        <w:jc w:val="both"/>
        <w:rPr>
          <w:rFonts w:ascii="Times New Roman" w:hAnsi="Times New Roman"/>
          <w:color w:val="auto"/>
        </w:rPr>
      </w:pPr>
      <w:bookmarkStart w:id="9" w:name="_Toc10788492"/>
      <w:r w:rsidRPr="00027DC0">
        <w:rPr>
          <w:rFonts w:ascii="Times New Roman" w:hAnsi="Times New Roman"/>
          <w:color w:val="auto"/>
        </w:rPr>
        <w:t>VII</w:t>
      </w:r>
      <w:r w:rsidR="00B46CD4" w:rsidRPr="00027DC0">
        <w:rPr>
          <w:rFonts w:ascii="Times New Roman" w:hAnsi="Times New Roman"/>
          <w:color w:val="auto"/>
        </w:rPr>
        <w:t>I</w:t>
      </w:r>
      <w:r w:rsidR="00EA73BF" w:rsidRPr="00027DC0">
        <w:rPr>
          <w:rFonts w:ascii="Times New Roman" w:hAnsi="Times New Roman"/>
          <w:color w:val="auto"/>
        </w:rPr>
        <w:t xml:space="preserve"> </w:t>
      </w:r>
      <w:r w:rsidR="009E0870" w:rsidRPr="00027DC0">
        <w:rPr>
          <w:rFonts w:ascii="Times New Roman" w:hAnsi="Times New Roman"/>
          <w:color w:val="auto"/>
        </w:rPr>
        <w:t xml:space="preserve">Stosowanie trybów wyboru wykonawcy określonych w ustawie PZP </w:t>
      </w:r>
      <w:r w:rsidR="00BE498C">
        <w:rPr>
          <w:rFonts w:ascii="Times New Roman" w:hAnsi="Times New Roman"/>
          <w:color w:val="auto"/>
        </w:rPr>
        <w:br/>
      </w:r>
      <w:r w:rsidR="009E0870" w:rsidRPr="00027DC0">
        <w:rPr>
          <w:rFonts w:ascii="Times New Roman" w:hAnsi="Times New Roman"/>
          <w:color w:val="auto"/>
        </w:rPr>
        <w:t>i konkurencyjnego trybu wyboru wy</w:t>
      </w:r>
      <w:r w:rsidR="001A25C4" w:rsidRPr="00027DC0">
        <w:rPr>
          <w:rFonts w:ascii="Times New Roman" w:hAnsi="Times New Roman"/>
          <w:color w:val="auto"/>
        </w:rPr>
        <w:t>konawców określonego w ustawie ROW</w:t>
      </w:r>
      <w:r w:rsidR="00EA73BF" w:rsidRPr="00027DC0">
        <w:rPr>
          <w:rFonts w:ascii="Times New Roman" w:hAnsi="Times New Roman"/>
          <w:color w:val="auto"/>
        </w:rPr>
        <w:t xml:space="preserve"> przy realizacji operacji finansowanych z pomocy technicznej PROW 2014-2020</w:t>
      </w:r>
      <w:bookmarkEnd w:id="9"/>
    </w:p>
    <w:p w14:paraId="2A12C27D" w14:textId="77777777" w:rsidR="00EA73BF" w:rsidRPr="00161F89" w:rsidRDefault="00EA73BF" w:rsidP="00EA7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C07AF" w14:textId="77777777" w:rsidR="001A25C4" w:rsidRDefault="001A25C4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F88FC" w14:textId="6405E5E2" w:rsidR="00E15B04" w:rsidRDefault="00EA73BF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F89">
        <w:rPr>
          <w:rFonts w:ascii="Times New Roman" w:eastAsia="Times New Roman" w:hAnsi="Times New Roman" w:cs="Times New Roman"/>
          <w:sz w:val="24"/>
          <w:szCs w:val="24"/>
        </w:rPr>
        <w:t xml:space="preserve">Przy ponoszeniu kosztów w ramach realizacji operacji finansowanych z pomocy technicznej PROW 2014-2020 należy </w:t>
      </w:r>
      <w:r w:rsidR="00410AC0">
        <w:rPr>
          <w:rFonts w:ascii="Times New Roman" w:eastAsia="Times New Roman" w:hAnsi="Times New Roman" w:cs="Times New Roman"/>
          <w:sz w:val="24"/>
          <w:szCs w:val="24"/>
        </w:rPr>
        <w:t xml:space="preserve">stosować przepisy ustawy </w:t>
      </w:r>
      <w:r w:rsidR="00410AC0" w:rsidRPr="00781A7D">
        <w:rPr>
          <w:rFonts w:ascii="Times New Roman" w:eastAsia="Times New Roman" w:hAnsi="Times New Roman" w:cs="Times New Roman"/>
          <w:sz w:val="24"/>
          <w:szCs w:val="24"/>
        </w:rPr>
        <w:t xml:space="preserve">PZP </w:t>
      </w:r>
      <w:r w:rsidR="00410AC0" w:rsidRPr="00095034">
        <w:rPr>
          <w:rFonts w:ascii="Times New Roman" w:eastAsia="Times New Roman" w:hAnsi="Times New Roman" w:cs="Times New Roman"/>
          <w:sz w:val="24"/>
          <w:szCs w:val="24"/>
        </w:rPr>
        <w:t>albo</w:t>
      </w:r>
      <w:r w:rsidRPr="00781A7D">
        <w:rPr>
          <w:rFonts w:ascii="Times New Roman" w:eastAsia="Times New Roman" w:hAnsi="Times New Roman" w:cs="Times New Roman"/>
          <w:sz w:val="24"/>
          <w:szCs w:val="24"/>
        </w:rPr>
        <w:t xml:space="preserve"> przepisy</w:t>
      </w:r>
      <w:r w:rsidRPr="00161F89">
        <w:rPr>
          <w:rFonts w:ascii="Times New Roman" w:eastAsia="Times New Roman" w:hAnsi="Times New Roman" w:cs="Times New Roman"/>
          <w:sz w:val="24"/>
          <w:szCs w:val="24"/>
        </w:rPr>
        <w:t xml:space="preserve"> ustawy ROW </w:t>
      </w:r>
      <w:r w:rsidR="00474754" w:rsidRPr="00161F8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74754" w:rsidRPr="00474754">
        <w:rPr>
          <w:rFonts w:ascii="Times New Roman" w:eastAsia="Times New Roman" w:hAnsi="Times New Roman" w:cs="Times New Roman"/>
          <w:sz w:val="24"/>
          <w:szCs w:val="24"/>
        </w:rPr>
        <w:t>ozporządzeni</w:t>
      </w:r>
      <w:r w:rsidR="003664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74754" w:rsidRPr="00474754">
        <w:rPr>
          <w:rFonts w:ascii="Times New Roman" w:eastAsia="Times New Roman" w:hAnsi="Times New Roman" w:cs="Times New Roman"/>
          <w:sz w:val="24"/>
          <w:szCs w:val="24"/>
        </w:rPr>
        <w:t xml:space="preserve"> w sprawie wyboru wykonawców zadań</w:t>
      </w:r>
      <w:r w:rsidR="00474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B6FF2A" w14:textId="09DA679E" w:rsidR="004B7ED0" w:rsidRPr="00095034" w:rsidRDefault="001A25C4" w:rsidP="00095034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DC0">
        <w:rPr>
          <w:rFonts w:ascii="Times New Roman" w:eastAsia="Times New Roman" w:hAnsi="Times New Roman" w:cs="Times New Roman"/>
          <w:sz w:val="24"/>
          <w:szCs w:val="24"/>
        </w:rPr>
        <w:t xml:space="preserve">Tryby wyboru wykonawców określone w ustawie PZP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stosuje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podmiot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obowiązany</w:t>
      </w:r>
      <w:r w:rsidRPr="0002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eastAsia="Times New Roman" w:hAnsi="Times New Roman" w:cs="Times New Roman"/>
          <w:sz w:val="24"/>
          <w:szCs w:val="24"/>
        </w:rPr>
        <w:br/>
      </w:r>
      <w:r w:rsidRPr="00027DC0">
        <w:rPr>
          <w:rFonts w:ascii="Times New Roman" w:eastAsia="Times New Roman" w:hAnsi="Times New Roman" w:cs="Times New Roman"/>
          <w:sz w:val="24"/>
          <w:szCs w:val="24"/>
        </w:rPr>
        <w:t>do stosowania przepisów o zamówieniach publicznych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. Konkurencyjny tryb wyboru wykonawców określony w art. 43a ustawy ROW i </w:t>
      </w:r>
      <w:r w:rsidR="00F5497E" w:rsidRPr="00027DC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rozporządzeniu </w:t>
      </w:r>
      <w:r w:rsidR="0072381F" w:rsidRPr="00027DC0">
        <w:rPr>
          <w:rFonts w:ascii="Times New Roman" w:hAnsi="Times New Roman" w:cs="Times New Roman"/>
          <w:sz w:val="24"/>
          <w:szCs w:val="24"/>
        </w:rPr>
        <w:t xml:space="preserve">w sprawie wyboru </w:t>
      </w:r>
      <w:r w:rsidR="00095034" w:rsidRPr="00027DC0">
        <w:rPr>
          <w:rFonts w:ascii="Times New Roman" w:hAnsi="Times New Roman" w:cs="Times New Roman"/>
          <w:sz w:val="24"/>
          <w:szCs w:val="24"/>
        </w:rPr>
        <w:t xml:space="preserve">wykonawców zadań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stosuje podmiot nie zobowiązany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</w:t>
      </w:r>
      <w:r w:rsidR="00DF40B3">
        <w:rPr>
          <w:rFonts w:ascii="Times New Roman" w:eastAsia="Times New Roman" w:hAnsi="Times New Roman" w:cs="Times New Roman"/>
          <w:sz w:val="24"/>
          <w:szCs w:val="24"/>
        </w:rPr>
        <w:br/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o zamówieniach publicznych, gdy ustalona wartość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 xml:space="preserve">netto danego 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>zamówienia przekracza kwotę, o której mowa w art. 43a ust. 5 ustawy ROW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7ED0" w:rsidRPr="0009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7E35E" w14:textId="77777777" w:rsidR="001A25C4" w:rsidRDefault="001A25C4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A89C1" w14:textId="77777777" w:rsidR="004264F4" w:rsidRPr="00161F89" w:rsidRDefault="004264F4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38D92" w14:textId="77777777" w:rsidR="00CD0D25" w:rsidRDefault="00CD0D25" w:rsidP="005928FE">
      <w:pPr>
        <w:pStyle w:val="PKTpunkt"/>
        <w:spacing w:before="60" w:after="60" w:line="276" w:lineRule="auto"/>
        <w:ind w:left="0" w:firstLine="0"/>
      </w:pPr>
      <w:r>
        <w:br w:type="page"/>
      </w:r>
    </w:p>
    <w:p w14:paraId="21EB1FCA" w14:textId="77777777" w:rsidR="00EA73BF" w:rsidRPr="00161F89" w:rsidRDefault="00B46CD4" w:rsidP="0037124F">
      <w:pPr>
        <w:pStyle w:val="Nagwek1"/>
        <w:rPr>
          <w:color w:val="auto"/>
        </w:rPr>
      </w:pPr>
      <w:bookmarkStart w:id="10" w:name="_Toc10788493"/>
      <w:r>
        <w:rPr>
          <w:color w:val="auto"/>
        </w:rPr>
        <w:lastRenderedPageBreak/>
        <w:t>IX</w:t>
      </w:r>
      <w:r w:rsidR="00A32F7D">
        <w:rPr>
          <w:color w:val="auto"/>
        </w:rPr>
        <w:t xml:space="preserve"> </w:t>
      </w:r>
      <w:r w:rsidR="00EA73BF" w:rsidRPr="00161F89">
        <w:rPr>
          <w:color w:val="auto"/>
        </w:rPr>
        <w:t xml:space="preserve"> Przykładowe opinie wydane przez IZ odnośnie do finansowania wydatków w ramach PT PROW 2014-2020</w:t>
      </w:r>
      <w:bookmarkEnd w:id="10"/>
    </w:p>
    <w:p w14:paraId="542F44B3" w14:textId="77777777" w:rsidR="00BF2E3D" w:rsidRPr="005D1103" w:rsidRDefault="00BF2E3D" w:rsidP="00BF2E3D">
      <w:pPr>
        <w:rPr>
          <w:rFonts w:ascii="Times New Roman" w:hAnsi="Times New Roman" w:cs="Times New Roman"/>
        </w:rPr>
      </w:pPr>
    </w:p>
    <w:p w14:paraId="346B6956" w14:textId="77777777" w:rsidR="00EA73BF" w:rsidRPr="005D1103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</w:rPr>
      </w:pPr>
      <w:r w:rsidRPr="005D1103">
        <w:rPr>
          <w:rFonts w:ascii="Times New Roman" w:hAnsi="Times New Roman" w:cs="Times New Roman"/>
          <w:b/>
        </w:rPr>
        <w:t xml:space="preserve">Sytuacja  losowa </w:t>
      </w:r>
    </w:p>
    <w:p w14:paraId="17B4C7B6" w14:textId="77777777" w:rsidR="00EA73BF" w:rsidRPr="00161F89" w:rsidRDefault="00EA73BF" w:rsidP="008431AE">
      <w:pPr>
        <w:pStyle w:val="Default"/>
        <w:spacing w:before="60" w:after="60" w:line="276" w:lineRule="auto"/>
        <w:ind w:left="1440"/>
        <w:jc w:val="both"/>
        <w:rPr>
          <w:b/>
          <w:color w:val="auto"/>
        </w:rPr>
      </w:pPr>
    </w:p>
    <w:p w14:paraId="0D5E3ED4" w14:textId="437B17C4" w:rsidR="00EA73BF" w:rsidRPr="00161F89" w:rsidRDefault="00366443" w:rsidP="001A2CA6">
      <w:pPr>
        <w:pStyle w:val="Default"/>
        <w:numPr>
          <w:ilvl w:val="0"/>
          <w:numId w:val="5"/>
        </w:numPr>
        <w:spacing w:before="60" w:after="60" w:line="276" w:lineRule="auto"/>
        <w:jc w:val="both"/>
        <w:rPr>
          <w:color w:val="auto"/>
        </w:rPr>
      </w:pPr>
      <w:r w:rsidRPr="00161F89">
        <w:rPr>
          <w:color w:val="auto"/>
        </w:rPr>
        <w:t xml:space="preserve">zaplanowane </w:t>
      </w:r>
      <w:r w:rsidR="00EA73BF" w:rsidRPr="00161F89">
        <w:rPr>
          <w:color w:val="auto"/>
        </w:rPr>
        <w:t xml:space="preserve">w ramach </w:t>
      </w:r>
      <w:r w:rsidRPr="00161F89">
        <w:rPr>
          <w:color w:val="auto"/>
        </w:rPr>
        <w:t xml:space="preserve">planu operacyjnego </w:t>
      </w:r>
      <w:r w:rsidR="00EA73BF" w:rsidRPr="00161F89">
        <w:rPr>
          <w:color w:val="auto"/>
        </w:rPr>
        <w:t xml:space="preserve">przedsięwzięcie </w:t>
      </w:r>
      <w:r w:rsidRPr="00161F89">
        <w:rPr>
          <w:color w:val="auto"/>
        </w:rPr>
        <w:t>partnera</w:t>
      </w:r>
      <w:r>
        <w:rPr>
          <w:color w:val="auto"/>
        </w:rPr>
        <w:t xml:space="preserve"> KSOW</w:t>
      </w:r>
      <w:r w:rsidRPr="00161F89">
        <w:rPr>
          <w:color w:val="auto"/>
        </w:rPr>
        <w:t xml:space="preserve"> </w:t>
      </w:r>
      <w:r w:rsidR="00BE498C">
        <w:rPr>
          <w:color w:val="auto"/>
        </w:rPr>
        <w:br/>
      </w:r>
      <w:r w:rsidR="00EA73BF" w:rsidRPr="00161F89">
        <w:rPr>
          <w:color w:val="auto"/>
        </w:rPr>
        <w:t>nie odbyło się z powodu sytuacji losowej (huragan):</w:t>
      </w:r>
    </w:p>
    <w:p w14:paraId="67B6C6A2" w14:textId="0D04556D" w:rsidR="00EA73BF" w:rsidRPr="00161F89" w:rsidRDefault="00EA73BF" w:rsidP="008431AE">
      <w:pPr>
        <w:pStyle w:val="Zwykytekst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W zaistniałej sytuacji proponuje się, aby przedsięwzięcie zostało zorganizowane w innym terminie, gospodarując taką wysokością budżetu, na jaką została podpisana umowa pomiędzy województw</w:t>
      </w:r>
      <w:r w:rsidR="00366443">
        <w:rPr>
          <w:rFonts w:ascii="Times New Roman" w:hAnsi="Times New Roman" w:cs="Times New Roman"/>
          <w:sz w:val="24"/>
          <w:szCs w:val="24"/>
        </w:rPr>
        <w:t>em</w:t>
      </w:r>
      <w:r w:rsidRPr="00161F89">
        <w:rPr>
          <w:rFonts w:ascii="Times New Roman" w:hAnsi="Times New Roman" w:cs="Times New Roman"/>
          <w:sz w:val="24"/>
          <w:szCs w:val="24"/>
        </w:rPr>
        <w:t xml:space="preserve"> a </w:t>
      </w:r>
      <w:r w:rsidR="00366443" w:rsidRPr="00161F89">
        <w:rPr>
          <w:rFonts w:ascii="Times New Roman" w:hAnsi="Times New Roman" w:cs="Times New Roman"/>
          <w:sz w:val="24"/>
          <w:szCs w:val="24"/>
        </w:rPr>
        <w:t xml:space="preserve">partnerem </w:t>
      </w:r>
      <w:r w:rsidRPr="00161F89">
        <w:rPr>
          <w:rFonts w:ascii="Times New Roman" w:hAnsi="Times New Roman" w:cs="Times New Roman"/>
          <w:sz w:val="24"/>
          <w:szCs w:val="24"/>
        </w:rPr>
        <w:t>KSOW, oraz</w:t>
      </w:r>
      <w:r w:rsidR="00366443">
        <w:rPr>
          <w:rFonts w:ascii="Times New Roman" w:hAnsi="Times New Roman" w:cs="Times New Roman"/>
          <w:sz w:val="24"/>
          <w:szCs w:val="24"/>
        </w:rPr>
        <w:t xml:space="preserve"> po</w:t>
      </w:r>
      <w:r w:rsidRPr="00161F89">
        <w:rPr>
          <w:rFonts w:ascii="Times New Roman" w:hAnsi="Times New Roman" w:cs="Times New Roman"/>
          <w:sz w:val="24"/>
          <w:szCs w:val="24"/>
        </w:rPr>
        <w:t xml:space="preserve"> odjęciu kosztów, które już zostały poniesione. Nienaruszalny powinien pozostać cel </w:t>
      </w:r>
      <w:r w:rsidR="00366443">
        <w:rPr>
          <w:rFonts w:ascii="Times New Roman" w:hAnsi="Times New Roman" w:cs="Times New Roman"/>
          <w:sz w:val="24"/>
          <w:szCs w:val="24"/>
        </w:rPr>
        <w:t>operacji</w:t>
      </w:r>
      <w:r w:rsidRPr="00161F89">
        <w:rPr>
          <w:rFonts w:ascii="Times New Roman" w:hAnsi="Times New Roman" w:cs="Times New Roman"/>
          <w:sz w:val="24"/>
          <w:szCs w:val="24"/>
        </w:rPr>
        <w:t xml:space="preserve">, zakładane do osiągnięcia przez </w:t>
      </w:r>
      <w:r w:rsidR="00366443" w:rsidRPr="00161F89">
        <w:rPr>
          <w:rFonts w:ascii="Times New Roman" w:hAnsi="Times New Roman" w:cs="Times New Roman"/>
          <w:sz w:val="24"/>
          <w:szCs w:val="24"/>
        </w:rPr>
        <w:t xml:space="preserve">wnioskodawcę </w:t>
      </w:r>
      <w:r w:rsidRPr="00161F89">
        <w:rPr>
          <w:rFonts w:ascii="Times New Roman" w:hAnsi="Times New Roman" w:cs="Times New Roman"/>
          <w:sz w:val="24"/>
          <w:szCs w:val="24"/>
        </w:rPr>
        <w:t xml:space="preserve">wskaźniki realizacji operacji oraz ostateczny koszt zgłoszony do </w:t>
      </w:r>
      <w:r w:rsidR="00366443" w:rsidRPr="00161F89">
        <w:rPr>
          <w:rFonts w:ascii="Times New Roman" w:hAnsi="Times New Roman" w:cs="Times New Roman"/>
          <w:sz w:val="24"/>
          <w:szCs w:val="24"/>
        </w:rPr>
        <w:t>planu operacyjnego</w:t>
      </w:r>
      <w:r w:rsidRPr="00161F89">
        <w:rPr>
          <w:rFonts w:ascii="Times New Roman" w:hAnsi="Times New Roman" w:cs="Times New Roman"/>
          <w:sz w:val="24"/>
          <w:szCs w:val="24"/>
        </w:rPr>
        <w:t>. Dopuszczalna jest zmiana kalkulacji kosztów, przy czym należy pamiętać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że wartość wydatków kwalifikowalnych nie może przekraczać wartości kosztów zatwierdzonych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w dwuletnim </w:t>
      </w:r>
      <w:r w:rsidR="00366443" w:rsidRPr="00161F89">
        <w:rPr>
          <w:rFonts w:ascii="Times New Roman" w:hAnsi="Times New Roman" w:cs="Times New Roman"/>
          <w:sz w:val="24"/>
          <w:szCs w:val="24"/>
        </w:rPr>
        <w:t>planie operacyjnym</w:t>
      </w:r>
      <w:r w:rsidRPr="00161F89">
        <w:rPr>
          <w:rFonts w:ascii="Times New Roman" w:hAnsi="Times New Roman" w:cs="Times New Roman"/>
          <w:sz w:val="24"/>
          <w:szCs w:val="24"/>
        </w:rPr>
        <w:t>.</w:t>
      </w:r>
    </w:p>
    <w:p w14:paraId="69EF32F4" w14:textId="447F784D" w:rsidR="00EA73BF" w:rsidRPr="00161F89" w:rsidRDefault="00366443" w:rsidP="001A2CA6">
      <w:pPr>
        <w:pStyle w:val="Zwykytek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pracownik </w:t>
      </w:r>
      <w:r w:rsidR="00EA73BF" w:rsidRPr="00161F89">
        <w:rPr>
          <w:rFonts w:ascii="Times New Roman" w:hAnsi="Times New Roman" w:cs="Times New Roman"/>
          <w:sz w:val="24"/>
          <w:szCs w:val="24"/>
        </w:rPr>
        <w:t>podmiotu uprawionego nie pojechał w delegację z powodu zwolnienia lekarskiego:</w:t>
      </w:r>
    </w:p>
    <w:p w14:paraId="1882AF62" w14:textId="39B846D2" w:rsidR="00EA73BF" w:rsidRPr="00161F89" w:rsidRDefault="00EA73BF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W perspektywie 2014-2020 </w:t>
      </w:r>
      <w:r w:rsidR="00366443">
        <w:rPr>
          <w:rFonts w:ascii="Times New Roman" w:hAnsi="Times New Roman" w:cs="Times New Roman"/>
          <w:sz w:val="24"/>
          <w:szCs w:val="24"/>
        </w:rPr>
        <w:t>obowiązuje zasada</w:t>
      </w:r>
      <w:r w:rsidRPr="00161F89">
        <w:rPr>
          <w:rFonts w:ascii="Times New Roman" w:hAnsi="Times New Roman" w:cs="Times New Roman"/>
          <w:sz w:val="24"/>
          <w:szCs w:val="24"/>
        </w:rPr>
        <w:t>, że koszt</w:t>
      </w:r>
      <w:r w:rsidR="00366443">
        <w:rPr>
          <w:rFonts w:ascii="Times New Roman" w:hAnsi="Times New Roman" w:cs="Times New Roman"/>
          <w:sz w:val="24"/>
          <w:szCs w:val="24"/>
        </w:rPr>
        <w:t>, aby</w:t>
      </w:r>
      <w:r w:rsidRPr="00161F89">
        <w:rPr>
          <w:rFonts w:ascii="Times New Roman" w:hAnsi="Times New Roman" w:cs="Times New Roman"/>
          <w:sz w:val="24"/>
          <w:szCs w:val="24"/>
        </w:rPr>
        <w:t xml:space="preserve"> mógł zostać uznany </w:t>
      </w:r>
      <w:r w:rsidR="00BE498C">
        <w:rPr>
          <w:rFonts w:ascii="Times New Roman" w:hAnsi="Times New Roman" w:cs="Times New Roman"/>
          <w:sz w:val="24"/>
          <w:szCs w:val="24"/>
        </w:rPr>
        <w:br/>
        <w:t>|</w:t>
      </w:r>
      <w:r w:rsidRPr="00161F89">
        <w:rPr>
          <w:rFonts w:ascii="Times New Roman" w:hAnsi="Times New Roman" w:cs="Times New Roman"/>
          <w:sz w:val="24"/>
          <w:szCs w:val="24"/>
        </w:rPr>
        <w:t>za kwalifikowalny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musi być m.in. racjonalny i niezbędny dla realizacji </w:t>
      </w:r>
      <w:r w:rsidR="00366443">
        <w:rPr>
          <w:rFonts w:ascii="Times New Roman" w:hAnsi="Times New Roman" w:cs="Times New Roman"/>
          <w:sz w:val="24"/>
          <w:szCs w:val="24"/>
        </w:rPr>
        <w:t>operacji,</w:t>
      </w:r>
      <w:r w:rsidR="00366443"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Pr="00161F89">
        <w:rPr>
          <w:rFonts w:ascii="Times New Roman" w:hAnsi="Times New Roman" w:cs="Times New Roman"/>
          <w:sz w:val="24"/>
          <w:szCs w:val="24"/>
        </w:rPr>
        <w:t xml:space="preserve">czyli osiągnięcia celu. Z uwagi na fakt, że podróż służbowa nie doszła do skutku, jeden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z powyższych warunków, czyli osiągnięcie celu, nie został spełniony.</w:t>
      </w:r>
    </w:p>
    <w:p w14:paraId="688EF5ED" w14:textId="0685183F" w:rsidR="00EA73BF" w:rsidRDefault="00EA73BF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W związku z powyższym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koszt zakupionego biletu lotniczego oraz noclegu nie może zostać uznany jako koszt kwalifikowalny w ramach PT PROW 2014-2020.</w:t>
      </w:r>
    </w:p>
    <w:p w14:paraId="4F7D6F32" w14:textId="77777777" w:rsidR="0057515D" w:rsidRPr="00161F89" w:rsidRDefault="0057515D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1FB2CC" w14:textId="77777777" w:rsidR="00EA73BF" w:rsidRPr="0057515D" w:rsidRDefault="0057515D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A73BF" w:rsidRPr="0057515D">
        <w:rPr>
          <w:rFonts w:ascii="Times New Roman" w:hAnsi="Times New Roman" w:cs="Times New Roman"/>
          <w:b/>
          <w:sz w:val="24"/>
          <w:szCs w:val="24"/>
        </w:rPr>
        <w:t xml:space="preserve">ilety lotnicze </w:t>
      </w:r>
      <w:r>
        <w:rPr>
          <w:rFonts w:ascii="Times New Roman" w:hAnsi="Times New Roman" w:cs="Times New Roman"/>
          <w:b/>
          <w:sz w:val="24"/>
          <w:szCs w:val="24"/>
        </w:rPr>
        <w:t>jako dowód księgowy</w:t>
      </w:r>
    </w:p>
    <w:p w14:paraId="4D1B0996" w14:textId="2CC6E94B" w:rsidR="00EA73BF" w:rsidRDefault="00EA73BF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W § 3 rozporządzenia w sprawie wystawiania faktur zostały określone przypadki, w których faktury mogą zawierać węższy zakres danych. Mianowicie faktura dokumentująca przejazd autostradą płatną lub przejazd na odległość nie mniejszą niż 50 km, wystawiana w formie biletu jednorazowego przez podatników uprawnionych do świadczenia usług polegających na przewozie osób: kolejami normalnotorowymi, taborem samochodowym, statkami pełnomorskimi, środkami transportu żeglugi śródlądowej i przybrzeżnej, promami, samolotami i śmigłowcami, powinna zawierać: numer i datę wystawienia, imię i nazwisko lub nazwę podatnika, numer, za pomocą którego podatnik jest zidentyfikowany na potrzeby podatku, informacje pozwalające na identyfikację rodzaju usługi, kwotę podatku, kwotę należności ogółem. </w:t>
      </w:r>
      <w:r w:rsidR="00676470">
        <w:rPr>
          <w:rFonts w:ascii="Times New Roman" w:hAnsi="Times New Roman" w:cs="Times New Roman"/>
          <w:sz w:val="24"/>
          <w:szCs w:val="24"/>
        </w:rPr>
        <w:t>Zgodnie z ww. rozporządzeniem,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możliwe jest uznanie biletu lotniczego za fakturę dokumentującą przewóz osób, pod warunkiem, że bilet ten spełnia wszystkie warunki określone w ww. rozporządzeniu, tzn. jest wystawiony przez podatnika uprawnionego do świadczenia usług i zawiera wszystkie dane określone w § 3 ww. rozporządzenia. Jednocześnie do refundacji należałoby przedłożyć bilet/bilety wraz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z paragonem oraz potwierdzenie płatności i potwierdzenie rezerwacji.</w:t>
      </w:r>
    </w:p>
    <w:p w14:paraId="1CEC400B" w14:textId="77777777" w:rsidR="009C4970" w:rsidRPr="00161F89" w:rsidRDefault="009C4970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14B924A" w14:textId="77777777" w:rsidR="00EA73BF" w:rsidRPr="00333315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315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podarunkowa jako nagroda w konkursie</w:t>
      </w:r>
    </w:p>
    <w:p w14:paraId="6B37EFB4" w14:textId="65452176" w:rsidR="00EA73BF" w:rsidRDefault="00366443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Zakup k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>art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podarunkow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jako nagrod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w konkursie stanowi koszt kwalifikowalny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jeżeli</w:t>
      </w:r>
      <w:r>
        <w:rPr>
          <w:rFonts w:ascii="Times New Roman" w:hAnsi="Times New Roman" w:cs="Times New Roman"/>
          <w:bCs/>
          <w:sz w:val="24"/>
          <w:szCs w:val="24"/>
        </w:rPr>
        <w:t xml:space="preserve"> koszt tego zakupu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jest racjonaln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>, zasadn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ujęty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161F89">
        <w:rPr>
          <w:rFonts w:ascii="Times New Roman" w:hAnsi="Times New Roman" w:cs="Times New Roman"/>
          <w:sz w:val="24"/>
          <w:szCs w:val="24"/>
        </w:rPr>
        <w:t xml:space="preserve">w </w:t>
      </w:r>
      <w:r w:rsidRPr="00161F89">
        <w:rPr>
          <w:rFonts w:ascii="Times New Roman" w:hAnsi="Times New Roman" w:cs="Times New Roman"/>
          <w:sz w:val="24"/>
          <w:szCs w:val="24"/>
        </w:rPr>
        <w:t>planie operacyjnym</w:t>
      </w:r>
      <w:r w:rsidR="00EA73BF" w:rsidRPr="00161F89">
        <w:rPr>
          <w:rFonts w:ascii="Times New Roman" w:hAnsi="Times New Roman" w:cs="Times New Roman"/>
          <w:sz w:val="24"/>
          <w:szCs w:val="24"/>
        </w:rPr>
        <w:t>.</w:t>
      </w:r>
    </w:p>
    <w:p w14:paraId="2E61A77C" w14:textId="77777777" w:rsidR="009C4970" w:rsidRPr="00161F89" w:rsidRDefault="009C4970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F3CFE3" w14:textId="77777777" w:rsidR="00EA73BF" w:rsidRPr="00333315" w:rsidRDefault="00333315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315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EA73BF" w:rsidRPr="00333315">
        <w:rPr>
          <w:rFonts w:ascii="Times New Roman" w:hAnsi="Times New Roman" w:cs="Times New Roman"/>
          <w:b/>
          <w:bCs/>
          <w:sz w:val="24"/>
          <w:szCs w:val="24"/>
        </w:rPr>
        <w:t xml:space="preserve"> regałów na potrzeby zarchiwizowania dokumentów dot. PT PROW 2007-2013</w:t>
      </w:r>
    </w:p>
    <w:p w14:paraId="337B2F47" w14:textId="77777777" w:rsidR="00EA73BF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Koszty dot. poprzednich okresów programowania wpisują się w obszar finansowania pomocy technicznej PROW 2014-2020, tak więc zakup regałów niezbędnych do przeprowadzenia archiwizacji materiałów związanych z PROW 2007-2013 stanowi koszt kwalifikowalny.</w:t>
      </w:r>
    </w:p>
    <w:p w14:paraId="73631071" w14:textId="77777777" w:rsidR="009C4970" w:rsidRPr="00161F89" w:rsidRDefault="009C4970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7D17B48" w14:textId="77777777" w:rsidR="00EA73BF" w:rsidRPr="00333315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33315">
        <w:rPr>
          <w:rFonts w:ascii="Times New Roman" w:hAnsi="Times New Roman" w:cs="Times New Roman"/>
          <w:b/>
          <w:sz w:val="24"/>
          <w:szCs w:val="24"/>
        </w:rPr>
        <w:t>Koszty związane z organizacją stoisk na targach</w:t>
      </w:r>
    </w:p>
    <w:p w14:paraId="5A732D61" w14:textId="2B40E957" w:rsidR="00EA73BF" w:rsidRPr="00161F89" w:rsidRDefault="00EA73BF" w:rsidP="001A2CA6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bCs/>
          <w:sz w:val="24"/>
          <w:szCs w:val="24"/>
        </w:rPr>
        <w:t xml:space="preserve">uszycie strojów dla osób obsługujących stoisko na targach oraz przygotowanie dekoracji: </w:t>
      </w:r>
    </w:p>
    <w:p w14:paraId="0FA0D33C" w14:textId="3712188A" w:rsidR="00EA73BF" w:rsidRPr="00161F89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Zgodnie z przepisami w zakresie PT PROW 2014-2020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aby dany koszt mógł zostać uznany za kwalifikowalny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musi być m.in. uzasadniony zakresem operacji i niezbędny do osiągnięcia jej celu oraz  racjonalny. Jeżeli będą spełnione powyższe warunki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wydaje się,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że przedmiotowe koszty mogą </w:t>
      </w:r>
      <w:r w:rsidR="009C4970">
        <w:rPr>
          <w:rFonts w:ascii="Times New Roman" w:hAnsi="Times New Roman" w:cs="Times New Roman"/>
          <w:sz w:val="24"/>
          <w:szCs w:val="24"/>
        </w:rPr>
        <w:t>być</w:t>
      </w:r>
      <w:r w:rsidRPr="00161F89">
        <w:rPr>
          <w:rFonts w:ascii="Times New Roman" w:hAnsi="Times New Roman" w:cs="Times New Roman"/>
          <w:sz w:val="24"/>
          <w:szCs w:val="24"/>
        </w:rPr>
        <w:t xml:space="preserve"> kwalifikowaln</w:t>
      </w:r>
      <w:r w:rsidR="009C4970">
        <w:rPr>
          <w:rFonts w:ascii="Times New Roman" w:hAnsi="Times New Roman" w:cs="Times New Roman"/>
          <w:sz w:val="24"/>
          <w:szCs w:val="24"/>
        </w:rPr>
        <w:t>e</w:t>
      </w:r>
      <w:r w:rsidRPr="00161F89">
        <w:rPr>
          <w:rFonts w:ascii="Times New Roman" w:hAnsi="Times New Roman" w:cs="Times New Roman"/>
          <w:sz w:val="24"/>
          <w:szCs w:val="24"/>
        </w:rPr>
        <w:t xml:space="preserve">. Ponadto należy pamiętać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o trwałym </w:t>
      </w:r>
      <w:proofErr w:type="spellStart"/>
      <w:r w:rsidRPr="00161F89">
        <w:rPr>
          <w:rFonts w:ascii="Times New Roman" w:hAnsi="Times New Roman" w:cs="Times New Roman"/>
          <w:sz w:val="24"/>
          <w:szCs w:val="24"/>
        </w:rPr>
        <w:t>ologowaniu</w:t>
      </w:r>
      <w:proofErr w:type="spellEnd"/>
      <w:r w:rsidRPr="00161F89">
        <w:rPr>
          <w:rFonts w:ascii="Times New Roman" w:hAnsi="Times New Roman" w:cs="Times New Roman"/>
          <w:sz w:val="24"/>
          <w:szCs w:val="24"/>
        </w:rPr>
        <w:t xml:space="preserve"> zarówno stoiska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jak i strojów regionalnych. </w:t>
      </w:r>
    </w:p>
    <w:p w14:paraId="27D454FA" w14:textId="3E714039" w:rsidR="00EA73BF" w:rsidRPr="00161F89" w:rsidRDefault="00EA73BF" w:rsidP="001A2CA6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bCs/>
          <w:sz w:val="24"/>
          <w:szCs w:val="24"/>
        </w:rPr>
        <w:t>wyposażeni</w:t>
      </w:r>
      <w:r w:rsidR="009C4970">
        <w:rPr>
          <w:rFonts w:ascii="Times New Roman" w:hAnsi="Times New Roman" w:cs="Times New Roman"/>
          <w:bCs/>
          <w:sz w:val="24"/>
          <w:szCs w:val="24"/>
        </w:rPr>
        <w:t>e</w:t>
      </w:r>
      <w:r w:rsidRPr="00161F89">
        <w:rPr>
          <w:rFonts w:ascii="Times New Roman" w:hAnsi="Times New Roman" w:cs="Times New Roman"/>
          <w:bCs/>
          <w:sz w:val="24"/>
          <w:szCs w:val="24"/>
        </w:rPr>
        <w:t xml:space="preserve"> oraz przechowywanie  stoiska ze środków przeznaczonych </w:t>
      </w:r>
      <w:r w:rsidR="00415527">
        <w:rPr>
          <w:rFonts w:ascii="Times New Roman" w:hAnsi="Times New Roman" w:cs="Times New Roman"/>
          <w:bCs/>
          <w:sz w:val="24"/>
          <w:szCs w:val="24"/>
        </w:rPr>
        <w:br/>
      </w:r>
      <w:r w:rsidRPr="00161F89">
        <w:rPr>
          <w:rFonts w:ascii="Times New Roman" w:hAnsi="Times New Roman" w:cs="Times New Roman"/>
          <w:bCs/>
          <w:sz w:val="24"/>
          <w:szCs w:val="24"/>
        </w:rPr>
        <w:t>na funkcjonowanie KSOW:</w:t>
      </w:r>
    </w:p>
    <w:p w14:paraId="17CCCCCB" w14:textId="48B1B7AB" w:rsidR="00EA73BF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Koszt zakupu wyposażenia stoiska wystawienniczego oraz przechowywania stanowi koszt kwalifikowalny w ramach PT PROW 2014-2020. Natomiast zgodnie z przepisami w zakresie PT PROW 2014-2020 zakłada się, że koszt</w:t>
      </w:r>
      <w:r w:rsidR="009C4970">
        <w:rPr>
          <w:rFonts w:ascii="Times New Roman" w:hAnsi="Times New Roman" w:cs="Times New Roman"/>
          <w:sz w:val="24"/>
          <w:szCs w:val="24"/>
        </w:rPr>
        <w:t>, aby</w:t>
      </w:r>
      <w:r w:rsidRPr="00161F89">
        <w:rPr>
          <w:rFonts w:ascii="Times New Roman" w:hAnsi="Times New Roman" w:cs="Times New Roman"/>
          <w:sz w:val="24"/>
          <w:szCs w:val="24"/>
        </w:rPr>
        <w:t xml:space="preserve"> mógł zostać uznany za kwalifikowalny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musi być m.in. uzasadniony zakresem operacji i niezbędny do osiągnięcia jej celu oraz racjonalny. </w:t>
      </w:r>
    </w:p>
    <w:p w14:paraId="3A7ABB6F" w14:textId="77777777" w:rsidR="009C4970" w:rsidRPr="00161F89" w:rsidRDefault="009C4970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6D956A6" w14:textId="77777777" w:rsidR="00EA73BF" w:rsidRPr="0016108E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8E">
        <w:rPr>
          <w:rFonts w:ascii="Times New Roman" w:hAnsi="Times New Roman" w:cs="Times New Roman"/>
          <w:b/>
          <w:sz w:val="24"/>
          <w:szCs w:val="24"/>
        </w:rPr>
        <w:t>Koszty niezbędne do realizacji operacji</w:t>
      </w:r>
    </w:p>
    <w:p w14:paraId="7ADDDC0B" w14:textId="77777777" w:rsidR="00B27F95" w:rsidRPr="00161F89" w:rsidRDefault="00B27F95" w:rsidP="008431AE">
      <w:pPr>
        <w:pStyle w:val="Akapitzlist"/>
        <w:tabs>
          <w:tab w:val="left" w:pos="284"/>
        </w:tabs>
        <w:autoSpaceDE w:val="0"/>
        <w:autoSpaceDN w:val="0"/>
        <w:spacing w:before="60" w:after="6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F859D" w14:textId="77777777" w:rsidR="00EA73BF" w:rsidRPr="00161F89" w:rsidRDefault="00EA73BF" w:rsidP="001A2CA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bCs/>
          <w:sz w:val="24"/>
          <w:szCs w:val="24"/>
        </w:rPr>
        <w:t>ubrania ochronne:</w:t>
      </w:r>
    </w:p>
    <w:p w14:paraId="01C59601" w14:textId="31D048EE" w:rsidR="00EA73BF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Do kosztów organizacji operacji mogą zostać zaliczone koszty</w:t>
      </w:r>
      <w:r w:rsidR="009C4970">
        <w:rPr>
          <w:rFonts w:ascii="Times New Roman" w:hAnsi="Times New Roman" w:cs="Times New Roman"/>
          <w:sz w:val="24"/>
          <w:szCs w:val="24"/>
        </w:rPr>
        <w:t xml:space="preserve"> zakupu materiałów oraz ubrań</w:t>
      </w:r>
      <w:r w:rsidRPr="00161F89">
        <w:rPr>
          <w:rFonts w:ascii="Times New Roman" w:hAnsi="Times New Roman" w:cs="Times New Roman"/>
          <w:sz w:val="24"/>
          <w:szCs w:val="24"/>
        </w:rPr>
        <w:t>, które</w:t>
      </w:r>
      <w:r w:rsidR="009C4970">
        <w:rPr>
          <w:rFonts w:ascii="Times New Roman" w:hAnsi="Times New Roman" w:cs="Times New Roman"/>
          <w:sz w:val="24"/>
          <w:szCs w:val="24"/>
        </w:rPr>
        <w:t xml:space="preserve"> to koszty</w:t>
      </w:r>
      <w:r w:rsidRPr="00161F89">
        <w:rPr>
          <w:rFonts w:ascii="Times New Roman" w:hAnsi="Times New Roman" w:cs="Times New Roman"/>
          <w:sz w:val="24"/>
          <w:szCs w:val="24"/>
        </w:rPr>
        <w:t xml:space="preserve"> spełniają warunki kwalifikowalności oraz</w:t>
      </w:r>
      <w:r w:rsidR="009C4970">
        <w:rPr>
          <w:rFonts w:ascii="Times New Roman" w:hAnsi="Times New Roman" w:cs="Times New Roman"/>
          <w:sz w:val="24"/>
          <w:szCs w:val="24"/>
        </w:rPr>
        <w:t xml:space="preserve"> dotyczą materiałów/ubrań, które</w:t>
      </w:r>
      <w:r w:rsidRPr="00161F89">
        <w:rPr>
          <w:rFonts w:ascii="Times New Roman" w:hAnsi="Times New Roman" w:cs="Times New Roman"/>
          <w:sz w:val="24"/>
          <w:szCs w:val="24"/>
        </w:rPr>
        <w:t xml:space="preserve"> są zużywalne (jednorazowe)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 tym ubrania ochronne</w:t>
      </w:r>
      <w:r w:rsidR="00652B89">
        <w:rPr>
          <w:rFonts w:ascii="Times New Roman" w:hAnsi="Times New Roman" w:cs="Times New Roman"/>
          <w:sz w:val="24"/>
          <w:szCs w:val="24"/>
        </w:rPr>
        <w:t xml:space="preserve"> czy</w:t>
      </w:r>
      <w:r w:rsidRPr="00161F89">
        <w:rPr>
          <w:rFonts w:ascii="Times New Roman" w:hAnsi="Times New Roman" w:cs="Times New Roman"/>
          <w:sz w:val="24"/>
          <w:szCs w:val="24"/>
        </w:rPr>
        <w:t xml:space="preserve"> odczynniki do przeprowadzenia badania podczas warsztatów itp. Nie można natomiast zaliczyć do nich kosztów</w:t>
      </w:r>
      <w:r w:rsidR="00652B89">
        <w:rPr>
          <w:rFonts w:ascii="Times New Roman" w:hAnsi="Times New Roman" w:cs="Times New Roman"/>
          <w:sz w:val="24"/>
          <w:szCs w:val="24"/>
        </w:rPr>
        <w:t xml:space="preserve"> zakupu</w:t>
      </w:r>
      <w:r w:rsidRPr="00161F89">
        <w:rPr>
          <w:rFonts w:ascii="Times New Roman" w:hAnsi="Times New Roman" w:cs="Times New Roman"/>
          <w:sz w:val="24"/>
          <w:szCs w:val="24"/>
        </w:rPr>
        <w:t xml:space="preserve"> materiałów/sprzętów, które </w:t>
      </w:r>
      <w:r w:rsidR="00652B89" w:rsidRPr="00161F89">
        <w:rPr>
          <w:rFonts w:ascii="Times New Roman" w:hAnsi="Times New Roman" w:cs="Times New Roman"/>
          <w:sz w:val="24"/>
          <w:szCs w:val="24"/>
        </w:rPr>
        <w:t>pozostają</w:t>
      </w:r>
      <w:r w:rsidR="00652B89">
        <w:rPr>
          <w:rFonts w:ascii="Times New Roman" w:hAnsi="Times New Roman" w:cs="Times New Roman"/>
          <w:sz w:val="24"/>
          <w:szCs w:val="24"/>
        </w:rPr>
        <w:t xml:space="preserve"> w posiadaniu partnera KSOW</w:t>
      </w:r>
      <w:r w:rsidR="00652B89"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Pr="00161F89">
        <w:rPr>
          <w:rFonts w:ascii="Times New Roman" w:hAnsi="Times New Roman" w:cs="Times New Roman"/>
          <w:sz w:val="24"/>
          <w:szCs w:val="24"/>
        </w:rPr>
        <w:t>po przeprowadzeniu operacji i mogłyby stanowić</w:t>
      </w:r>
      <w:r w:rsidR="00652B89">
        <w:rPr>
          <w:rFonts w:ascii="Times New Roman" w:hAnsi="Times New Roman" w:cs="Times New Roman"/>
          <w:sz w:val="24"/>
          <w:szCs w:val="24"/>
        </w:rPr>
        <w:t xml:space="preserve"> jego</w:t>
      </w:r>
      <w:r w:rsidRPr="00161F89">
        <w:rPr>
          <w:rFonts w:ascii="Times New Roman" w:hAnsi="Times New Roman" w:cs="Times New Roman"/>
          <w:sz w:val="24"/>
          <w:szCs w:val="24"/>
        </w:rPr>
        <w:t xml:space="preserve"> majątek organizatora</w:t>
      </w:r>
      <w:r w:rsidRPr="00676470">
        <w:rPr>
          <w:rFonts w:ascii="Times New Roman" w:hAnsi="Times New Roman" w:cs="Times New Roman"/>
          <w:sz w:val="24"/>
          <w:szCs w:val="24"/>
        </w:rPr>
        <w:t>.</w:t>
      </w:r>
      <w:r w:rsidR="00652B89">
        <w:rPr>
          <w:rFonts w:ascii="Times New Roman" w:hAnsi="Times New Roman" w:cs="Times New Roman"/>
          <w:sz w:val="24"/>
          <w:szCs w:val="24"/>
        </w:rPr>
        <w:t xml:space="preserve"> Inaczej wygląda sytuacja beneficjentów PT PROW 2014–2020, którzy w ramach schematu I </w:t>
      </w:r>
      <w:proofErr w:type="spellStart"/>
      <w:r w:rsidR="00652B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2B89">
        <w:rPr>
          <w:rFonts w:ascii="Times New Roman" w:hAnsi="Times New Roman" w:cs="Times New Roman"/>
          <w:sz w:val="24"/>
          <w:szCs w:val="24"/>
        </w:rPr>
        <w:t xml:space="preserve"> wsparcia funkcjonowania KSOW mogą ponosić wydatki na zakup środków trwałych do wysokości określonej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652B89">
        <w:rPr>
          <w:rFonts w:ascii="Times New Roman" w:hAnsi="Times New Roman" w:cs="Times New Roman"/>
          <w:sz w:val="24"/>
          <w:szCs w:val="24"/>
        </w:rPr>
        <w:t>w umowach dotacji celowych.</w:t>
      </w:r>
    </w:p>
    <w:p w14:paraId="14186029" w14:textId="77777777" w:rsidR="00EA73BF" w:rsidRPr="00161F89" w:rsidRDefault="00EA73BF" w:rsidP="001A2CA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faktura za parking:</w:t>
      </w:r>
    </w:p>
    <w:p w14:paraId="062DB66E" w14:textId="3F749D58" w:rsidR="00EA73BF" w:rsidRDefault="00EA73BF" w:rsidP="008431AE">
      <w:pPr>
        <w:spacing w:before="60" w:after="60"/>
        <w:jc w:val="both"/>
      </w:pPr>
      <w:r w:rsidRPr="00161F89">
        <w:rPr>
          <w:rFonts w:ascii="Times New Roman" w:hAnsi="Times New Roman" w:cs="Times New Roman"/>
          <w:sz w:val="24"/>
          <w:szCs w:val="24"/>
        </w:rPr>
        <w:t>Faktura za parking w ramach wyjazdu służbowego jest</w:t>
      </w:r>
      <w:r w:rsidR="00652B89">
        <w:rPr>
          <w:rFonts w:ascii="Times New Roman" w:hAnsi="Times New Roman" w:cs="Times New Roman"/>
          <w:sz w:val="24"/>
          <w:szCs w:val="24"/>
        </w:rPr>
        <w:t xml:space="preserve"> dowodem poniesienia</w:t>
      </w:r>
      <w:r w:rsidRPr="00161F89">
        <w:rPr>
          <w:rFonts w:ascii="Times New Roman" w:hAnsi="Times New Roman" w:cs="Times New Roman"/>
          <w:sz w:val="24"/>
          <w:szCs w:val="24"/>
        </w:rPr>
        <w:t xml:space="preserve"> koszt</w:t>
      </w:r>
      <w:r w:rsidR="00652B89">
        <w:rPr>
          <w:rFonts w:ascii="Times New Roman" w:hAnsi="Times New Roman" w:cs="Times New Roman"/>
          <w:sz w:val="24"/>
          <w:szCs w:val="24"/>
        </w:rPr>
        <w:t>u</w:t>
      </w:r>
      <w:r w:rsidRPr="00161F89">
        <w:rPr>
          <w:rFonts w:ascii="Times New Roman" w:hAnsi="Times New Roman" w:cs="Times New Roman"/>
          <w:sz w:val="24"/>
          <w:szCs w:val="24"/>
        </w:rPr>
        <w:t xml:space="preserve"> kwalifikowaln</w:t>
      </w:r>
      <w:r w:rsidR="00652B89">
        <w:rPr>
          <w:rFonts w:ascii="Times New Roman" w:hAnsi="Times New Roman" w:cs="Times New Roman"/>
          <w:sz w:val="24"/>
          <w:szCs w:val="24"/>
        </w:rPr>
        <w:t>ego</w:t>
      </w:r>
      <w:r w:rsidRPr="00161F89">
        <w:rPr>
          <w:rFonts w:ascii="Times New Roman" w:hAnsi="Times New Roman" w:cs="Times New Roman"/>
          <w:sz w:val="24"/>
          <w:szCs w:val="24"/>
        </w:rPr>
        <w:t xml:space="preserve"> pod warunkiem, że delegacja służbowa będzie uznana za celową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i niezbędną</w:t>
      </w:r>
      <w:r w:rsidR="00652B89">
        <w:rPr>
          <w:rFonts w:ascii="Times New Roman" w:hAnsi="Times New Roman" w:cs="Times New Roman"/>
          <w:sz w:val="24"/>
          <w:szCs w:val="24"/>
        </w:rPr>
        <w:t xml:space="preserve">; wówczas </w:t>
      </w:r>
      <w:r w:rsidRPr="00161F89">
        <w:rPr>
          <w:rFonts w:ascii="Times New Roman" w:hAnsi="Times New Roman" w:cs="Times New Roman"/>
          <w:sz w:val="24"/>
          <w:szCs w:val="24"/>
        </w:rPr>
        <w:t>wszelkie niezbędne koszty związane z delegacją mogą stanowić  koszt kwalifikowalny</w:t>
      </w:r>
      <w:r w:rsidRPr="00161F89">
        <w:t>.</w:t>
      </w:r>
    </w:p>
    <w:p w14:paraId="22BC408D" w14:textId="77777777" w:rsidR="004B6A73" w:rsidRPr="00E80FB1" w:rsidRDefault="004B6A73" w:rsidP="001A2CA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</w:rPr>
      </w:pPr>
      <w:r w:rsidRPr="00E80FB1">
        <w:rPr>
          <w:rFonts w:ascii="Times New Roman" w:hAnsi="Times New Roman" w:cs="Times New Roman"/>
          <w:sz w:val="24"/>
        </w:rPr>
        <w:lastRenderedPageBreak/>
        <w:t>Zakup oprogramowania:</w:t>
      </w:r>
    </w:p>
    <w:p w14:paraId="2B05299B" w14:textId="4D9959D4" w:rsidR="004B6A73" w:rsidRDefault="004B6A73" w:rsidP="004B6A73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</w:rPr>
      </w:pPr>
      <w:r w:rsidRPr="00E80FB1">
        <w:rPr>
          <w:rFonts w:ascii="Times New Roman" w:hAnsi="Times New Roman" w:cs="Times New Roman"/>
          <w:sz w:val="24"/>
        </w:rPr>
        <w:t xml:space="preserve">Zakup oprogramowania może zostać sfinansowany ze środków przeznaczonych na wsparcie funkcjonowania struktury ODR pod warunkiem, iż oprogramowanie będzie wykorzystywane przez pracowników Ośrodka jako niezbędne do realizacji przez nich zadań w ramach SIR. </w:t>
      </w:r>
      <w:r w:rsidR="00BE498C">
        <w:rPr>
          <w:rFonts w:ascii="Times New Roman" w:hAnsi="Times New Roman" w:cs="Times New Roman"/>
          <w:sz w:val="24"/>
        </w:rPr>
        <w:br/>
      </w:r>
      <w:r w:rsidRPr="00E80FB1">
        <w:rPr>
          <w:rFonts w:ascii="Times New Roman" w:hAnsi="Times New Roman" w:cs="Times New Roman"/>
          <w:sz w:val="24"/>
        </w:rPr>
        <w:t xml:space="preserve">Za środki z planu operacyjnego można nabywać w ramach dostaw wyłącznie takie rzeczy/towary, które zostaną zużyte w trakcie realizacji operacji, na potrzeby której zostały nabyte. Oprogramowanie nie należy do takich towarów. W takim przypadku można </w:t>
      </w:r>
      <w:r w:rsidR="00415527">
        <w:rPr>
          <w:rFonts w:ascii="Times New Roman" w:hAnsi="Times New Roman" w:cs="Times New Roman"/>
          <w:sz w:val="24"/>
        </w:rPr>
        <w:br/>
      </w:r>
      <w:r w:rsidRPr="00E80FB1">
        <w:rPr>
          <w:rFonts w:ascii="Times New Roman" w:hAnsi="Times New Roman" w:cs="Times New Roman"/>
          <w:sz w:val="24"/>
        </w:rPr>
        <w:t xml:space="preserve">by sfinansować z planu operacyjnego wyłącznie opłaty licencyjne z tytułu korzystania </w:t>
      </w:r>
      <w:r w:rsidR="008A572D">
        <w:rPr>
          <w:rFonts w:ascii="Times New Roman" w:hAnsi="Times New Roman" w:cs="Times New Roman"/>
          <w:sz w:val="24"/>
        </w:rPr>
        <w:br/>
      </w:r>
      <w:r w:rsidRPr="00E80FB1">
        <w:rPr>
          <w:rFonts w:ascii="Times New Roman" w:hAnsi="Times New Roman" w:cs="Times New Roman"/>
          <w:sz w:val="24"/>
        </w:rPr>
        <w:t>z oprogramowania w trakcie realizacji danej operacji albo w ramach usługi wynająć oprogramowanie/sprzęt z oprogramowaniem na czas trwania danej operacji.</w:t>
      </w:r>
    </w:p>
    <w:p w14:paraId="117558E2" w14:textId="77777777" w:rsidR="009C4970" w:rsidRPr="00E80FB1" w:rsidRDefault="009C4970" w:rsidP="004B6A73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</w:rPr>
      </w:pPr>
    </w:p>
    <w:p w14:paraId="0019E49F" w14:textId="48A3627A" w:rsidR="00EA73BF" w:rsidRPr="008069D4" w:rsidRDefault="00EA73BF" w:rsidP="001A2CA6">
      <w:pPr>
        <w:pStyle w:val="Akapitzlist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9D4">
        <w:rPr>
          <w:rFonts w:ascii="Times New Roman" w:hAnsi="Times New Roman" w:cs="Times New Roman"/>
          <w:b/>
          <w:sz w:val="24"/>
          <w:szCs w:val="24"/>
        </w:rPr>
        <w:t xml:space="preserve">Różnice kursowe </w:t>
      </w:r>
    </w:p>
    <w:p w14:paraId="7C645BE9" w14:textId="5EEE9252" w:rsidR="00EA73BF" w:rsidRDefault="00A3720E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3720E">
        <w:rPr>
          <w:rFonts w:ascii="Times New Roman" w:hAnsi="Times New Roman" w:cs="Times New Roman"/>
          <w:color w:val="000000"/>
          <w:sz w:val="24"/>
          <w:szCs w:val="24"/>
        </w:rPr>
        <w:t>Koszt</w:t>
      </w:r>
      <w:r w:rsidR="00984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by mógł być uznany za kwalifikowany</w:t>
      </w:r>
      <w:r w:rsidR="00984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musi być rzeczywiście poniesiony</w:t>
      </w:r>
      <w:r w:rsidR="00984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>tj.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przeliczony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zgodnie z ustawą o rachunkowości po kursie faktycznie zastosowanym w tym dniu wynikającym z charakteru operacji – w przypadku sprzedaży lub kupna walut oraz zapłaty należności lub zobowiązań.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161F89">
        <w:rPr>
          <w:rFonts w:ascii="Times New Roman" w:hAnsi="Times New Roman" w:cs="Times New Roman"/>
          <w:sz w:val="24"/>
          <w:szCs w:val="24"/>
        </w:rPr>
        <w:t>W przypadku płatności bezgotówkowych</w:t>
      </w:r>
      <w:r w:rsidR="00984597">
        <w:rPr>
          <w:rFonts w:ascii="Times New Roman" w:hAnsi="Times New Roman" w:cs="Times New Roman"/>
          <w:sz w:val="24"/>
          <w:szCs w:val="24"/>
        </w:rPr>
        <w:t>,</w:t>
      </w:r>
      <w:r w:rsidR="00EA73BF" w:rsidRPr="00161F89">
        <w:rPr>
          <w:rFonts w:ascii="Times New Roman" w:hAnsi="Times New Roman" w:cs="Times New Roman"/>
          <w:sz w:val="24"/>
          <w:szCs w:val="24"/>
        </w:rPr>
        <w:t xml:space="preserve"> za koszt, który będzie mógł podlegać refundacji</w:t>
      </w:r>
      <w:r w:rsidR="00984597">
        <w:rPr>
          <w:rFonts w:ascii="Times New Roman" w:hAnsi="Times New Roman" w:cs="Times New Roman"/>
          <w:sz w:val="24"/>
          <w:szCs w:val="24"/>
        </w:rPr>
        <w:t>,</w:t>
      </w:r>
      <w:r w:rsidR="00EA73BF" w:rsidRPr="00161F89">
        <w:rPr>
          <w:rFonts w:ascii="Times New Roman" w:hAnsi="Times New Roman" w:cs="Times New Roman"/>
          <w:sz w:val="24"/>
          <w:szCs w:val="24"/>
        </w:rPr>
        <w:t xml:space="preserve"> uznana będzie kwota będąca równowartością kwoty obciążającej beneficjenta w walucie obcej, przyjmując kurs faktycznie zastosowany przez bank obsługujący beneficjenta w dniu dokonania przelewu. W przypadku gdy nie jest możliwe zastosowanie kursu sprzedaży danego banku, wydatki kwalifikowalne poniesione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EA73BF" w:rsidRPr="00161F89">
        <w:rPr>
          <w:rFonts w:ascii="Times New Roman" w:hAnsi="Times New Roman" w:cs="Times New Roman"/>
          <w:sz w:val="24"/>
          <w:szCs w:val="24"/>
        </w:rPr>
        <w:t>w walucie obcej należy przeliczyć po innym kursie, zgodnym z obowiązującymi przepisami prawa oraz obowiązującą polityką rachunkowości beneficjenta.</w:t>
      </w:r>
    </w:p>
    <w:p w14:paraId="5DDF9B7C" w14:textId="77777777" w:rsidR="009C4970" w:rsidRPr="00A3720E" w:rsidRDefault="009C4970" w:rsidP="008431AE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6E3AC" w14:textId="77777777" w:rsidR="00EA73BF" w:rsidRPr="001016F0" w:rsidRDefault="00EA73BF" w:rsidP="001A2CA6">
      <w:pPr>
        <w:pStyle w:val="Akapitzlist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F0">
        <w:rPr>
          <w:rFonts w:ascii="Times New Roman" w:hAnsi="Times New Roman" w:cs="Times New Roman"/>
          <w:b/>
          <w:sz w:val="24"/>
          <w:szCs w:val="24"/>
        </w:rPr>
        <w:t xml:space="preserve">Wizualizacja na materiałach szkoleniowych </w:t>
      </w:r>
    </w:p>
    <w:p w14:paraId="3BF8FF7F" w14:textId="75C2012B" w:rsidR="00EA73BF" w:rsidRPr="00161F89" w:rsidRDefault="00EA73BF" w:rsidP="008431A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 Beneficjenta/partnera KSOW obowiązują zapisy zawartej umowy na realizację operacji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w ramach Planu operacyjnego KSOW. Jeżeli w umowie zawartej na realizację operacji taki partner zobowiązał się do informowania i rozpowszechniania informacji o pomocy otrzymanej z EFRROW zgodnie z przepisami załącznika III do rozporządzenia nr 808/2014 opisanymi szczegółowo w Księdze wizualizacji znaku Programu Rozwoju Obszarów Wiejskich na lata 2014–2020, opublikowanej na stronie internetowej Ministerstwa Rolnictwa i Rozwoju Wsi, to przede wszystkim w trakcie trwania operacji informuje opinię publiczną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o pomocy otrzymanej z EFRROW poprzez zamieszczenie np. plakatu. Przy działaniach miękkich</w:t>
      </w:r>
      <w:r w:rsidR="00984597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takich jak szkolenia, konferencje</w:t>
      </w:r>
      <w:r w:rsidR="00984597">
        <w:rPr>
          <w:rFonts w:ascii="Times New Roman" w:hAnsi="Times New Roman" w:cs="Times New Roman"/>
          <w:sz w:val="24"/>
          <w:szCs w:val="24"/>
        </w:rPr>
        <w:t xml:space="preserve"> czy</w:t>
      </w:r>
      <w:r w:rsidRPr="00161F89">
        <w:rPr>
          <w:rFonts w:ascii="Times New Roman" w:hAnsi="Times New Roman" w:cs="Times New Roman"/>
          <w:sz w:val="24"/>
          <w:szCs w:val="24"/>
        </w:rPr>
        <w:t xml:space="preserve"> warsztaty </w:t>
      </w:r>
      <w:r w:rsidR="00984597">
        <w:rPr>
          <w:rFonts w:ascii="Times New Roman" w:hAnsi="Times New Roman" w:cs="Times New Roman"/>
          <w:sz w:val="24"/>
          <w:szCs w:val="24"/>
        </w:rPr>
        <w:t>zależy</w:t>
      </w:r>
      <w:r w:rsidRPr="00161F89">
        <w:rPr>
          <w:rFonts w:ascii="Times New Roman" w:hAnsi="Times New Roman" w:cs="Times New Roman"/>
          <w:sz w:val="24"/>
          <w:szCs w:val="24"/>
        </w:rPr>
        <w:t xml:space="preserve"> poinformowa</w:t>
      </w:r>
      <w:r w:rsidR="00984597">
        <w:rPr>
          <w:rFonts w:ascii="Times New Roman" w:hAnsi="Times New Roman" w:cs="Times New Roman"/>
          <w:sz w:val="24"/>
          <w:szCs w:val="24"/>
        </w:rPr>
        <w:t>ć</w:t>
      </w:r>
      <w:r w:rsidRPr="00161F89">
        <w:rPr>
          <w:rFonts w:ascii="Times New Roman" w:hAnsi="Times New Roman" w:cs="Times New Roman"/>
          <w:sz w:val="24"/>
          <w:szCs w:val="24"/>
        </w:rPr>
        <w:t xml:space="preserve"> o</w:t>
      </w:r>
      <w:r w:rsidR="00984597">
        <w:rPr>
          <w:rFonts w:ascii="Times New Roman" w:hAnsi="Times New Roman" w:cs="Times New Roman"/>
          <w:sz w:val="24"/>
          <w:szCs w:val="24"/>
        </w:rPr>
        <w:t xml:space="preserve"> korzystaniu ze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="00984597">
        <w:rPr>
          <w:rFonts w:ascii="Times New Roman" w:hAnsi="Times New Roman" w:cs="Times New Roman"/>
          <w:sz w:val="24"/>
          <w:szCs w:val="24"/>
        </w:rPr>
        <w:t>środków</w:t>
      </w:r>
      <w:r w:rsidRPr="00161F89">
        <w:rPr>
          <w:rFonts w:ascii="Times New Roman" w:hAnsi="Times New Roman" w:cs="Times New Roman"/>
          <w:sz w:val="24"/>
          <w:szCs w:val="24"/>
        </w:rPr>
        <w:t xml:space="preserve"> EFRROW w czasie trwania operacji (plakat, baner) oraz m.in. na prezentacji czy materiale szkoleniowym (zawierającym treści merytoryczne). Na materiałach konferencyjnych/szkoleniowych, takich jak np. notes</w:t>
      </w:r>
      <w:r w:rsidR="00984597">
        <w:rPr>
          <w:rFonts w:ascii="Times New Roman" w:hAnsi="Times New Roman" w:cs="Times New Roman"/>
          <w:sz w:val="24"/>
          <w:szCs w:val="24"/>
        </w:rPr>
        <w:t xml:space="preserve"> lub</w:t>
      </w:r>
      <w:r w:rsidRPr="00161F89">
        <w:rPr>
          <w:rFonts w:ascii="Times New Roman" w:hAnsi="Times New Roman" w:cs="Times New Roman"/>
          <w:sz w:val="24"/>
          <w:szCs w:val="24"/>
        </w:rPr>
        <w:t xml:space="preserve"> długopis, wizualizacja nie jest konieczna, chyba że wynika to z założeń operacji, które wskazują, że mają to być materiały promocyjne. Beneficjent/partner</w:t>
      </w:r>
      <w:r w:rsidR="00B46CD4">
        <w:rPr>
          <w:rFonts w:ascii="Times New Roman" w:hAnsi="Times New Roman" w:cs="Times New Roman"/>
          <w:sz w:val="24"/>
          <w:szCs w:val="24"/>
        </w:rPr>
        <w:t xml:space="preserve"> </w:t>
      </w:r>
      <w:r w:rsidR="00B46CD4" w:rsidRPr="004840D0">
        <w:rPr>
          <w:rFonts w:ascii="Times New Roman" w:hAnsi="Times New Roman" w:cs="Times New Roman"/>
          <w:sz w:val="24"/>
          <w:szCs w:val="24"/>
        </w:rPr>
        <w:t>KSOW</w:t>
      </w:r>
      <w:r w:rsidRPr="00161F89">
        <w:rPr>
          <w:rFonts w:ascii="Times New Roman" w:hAnsi="Times New Roman" w:cs="Times New Roman"/>
          <w:sz w:val="24"/>
          <w:szCs w:val="24"/>
        </w:rPr>
        <w:t xml:space="preserve"> w takiej sytuacji może przekazać materiały piśmiennicze bez </w:t>
      </w:r>
      <w:proofErr w:type="spellStart"/>
      <w:r w:rsidRPr="00161F89">
        <w:rPr>
          <w:rFonts w:ascii="Times New Roman" w:hAnsi="Times New Roman" w:cs="Times New Roman"/>
          <w:sz w:val="24"/>
          <w:szCs w:val="24"/>
        </w:rPr>
        <w:t>ologowania</w:t>
      </w:r>
      <w:proofErr w:type="spellEnd"/>
      <w:r w:rsidRPr="00161F89">
        <w:rPr>
          <w:rFonts w:ascii="Times New Roman" w:hAnsi="Times New Roman" w:cs="Times New Roman"/>
          <w:sz w:val="24"/>
          <w:szCs w:val="24"/>
        </w:rPr>
        <w:t>, jednakże musi poinformowa</w:t>
      </w:r>
      <w:r w:rsidR="00984597">
        <w:rPr>
          <w:rFonts w:ascii="Times New Roman" w:hAnsi="Times New Roman" w:cs="Times New Roman"/>
          <w:sz w:val="24"/>
          <w:szCs w:val="24"/>
        </w:rPr>
        <w:t>ć</w:t>
      </w:r>
      <w:r w:rsidRPr="00161F89">
        <w:rPr>
          <w:rFonts w:ascii="Times New Roman" w:hAnsi="Times New Roman" w:cs="Times New Roman"/>
          <w:sz w:val="24"/>
          <w:szCs w:val="24"/>
        </w:rPr>
        <w:t xml:space="preserve"> o wkładzie EFRROW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w realizowaną operację w czasie jej trwania.</w:t>
      </w:r>
    </w:p>
    <w:p w14:paraId="5D159ACF" w14:textId="5471D2EF" w:rsidR="008431AE" w:rsidRDefault="008431AE">
      <w:pPr>
        <w:rPr>
          <w:rFonts w:ascii="Times New Roman" w:hAnsi="Times New Roman" w:cs="Times New Roman"/>
          <w:sz w:val="24"/>
          <w:szCs w:val="24"/>
        </w:rPr>
      </w:pPr>
    </w:p>
    <w:sectPr w:rsidR="008431AE" w:rsidSect="00795381">
      <w:footerReference w:type="default" r:id="rId12"/>
      <w:pgSz w:w="11906" w:h="16838"/>
      <w:pgMar w:top="1417" w:right="1417" w:bottom="1417" w:left="1560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719AB" w16cid:durableId="1DB5CE89"/>
  <w16cid:commentId w16cid:paraId="6E0A5D96" w16cid:durableId="1DB5CEC1"/>
  <w16cid:commentId w16cid:paraId="4FB60362" w16cid:durableId="1DB5CF34"/>
  <w16cid:commentId w16cid:paraId="1D886944" w16cid:durableId="1DB5CFE3"/>
  <w16cid:commentId w16cid:paraId="7214723F" w16cid:durableId="1DB5D069"/>
  <w16cid:commentId w16cid:paraId="29288150" w16cid:durableId="1DB5D0CB"/>
  <w16cid:commentId w16cid:paraId="054ED203" w16cid:durableId="1DB5D125"/>
  <w16cid:commentId w16cid:paraId="06DBD672" w16cid:durableId="1DB5D154"/>
  <w16cid:commentId w16cid:paraId="1456AD24" w16cid:durableId="1DB5D205"/>
  <w16cid:commentId w16cid:paraId="30119718" w16cid:durableId="1DB5D2A1"/>
  <w16cid:commentId w16cid:paraId="366474E6" w16cid:durableId="1DB5D2E4"/>
  <w16cid:commentId w16cid:paraId="1950E8AB" w16cid:durableId="1DB5D365"/>
  <w16cid:commentId w16cid:paraId="71A836C7" w16cid:durableId="1DB5D366"/>
  <w16cid:commentId w16cid:paraId="31A33EF9" w16cid:durableId="1DB5D3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82BF0" w14:textId="77777777" w:rsidR="00ED5CAE" w:rsidRDefault="00ED5CAE" w:rsidP="003803EA">
      <w:pPr>
        <w:spacing w:after="0" w:line="240" w:lineRule="auto"/>
      </w:pPr>
      <w:r>
        <w:separator/>
      </w:r>
    </w:p>
  </w:endnote>
  <w:endnote w:type="continuationSeparator" w:id="0">
    <w:p w14:paraId="2E34F5FA" w14:textId="77777777" w:rsidR="00ED5CAE" w:rsidRDefault="00ED5CAE" w:rsidP="0038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7713"/>
      <w:docPartObj>
        <w:docPartGallery w:val="Page Numbers (Bottom of Page)"/>
        <w:docPartUnique/>
      </w:docPartObj>
    </w:sdtPr>
    <w:sdtEndPr/>
    <w:sdtContent>
      <w:p w14:paraId="64969D7A" w14:textId="19DFE5DD" w:rsidR="0039035B" w:rsidRDefault="003903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A6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12438CD" w14:textId="77777777" w:rsidR="0039035B" w:rsidRDefault="003903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8D02" w14:textId="77777777" w:rsidR="00ED5CAE" w:rsidRDefault="00ED5CAE" w:rsidP="003803EA">
      <w:pPr>
        <w:spacing w:after="0" w:line="240" w:lineRule="auto"/>
      </w:pPr>
      <w:r>
        <w:separator/>
      </w:r>
    </w:p>
  </w:footnote>
  <w:footnote w:type="continuationSeparator" w:id="0">
    <w:p w14:paraId="31645D0F" w14:textId="77777777" w:rsidR="00ED5CAE" w:rsidRDefault="00ED5CAE" w:rsidP="0038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371"/>
    <w:multiLevelType w:val="hybridMultilevel"/>
    <w:tmpl w:val="1834C5B6"/>
    <w:lvl w:ilvl="0" w:tplc="0415000F">
      <w:start w:val="1"/>
      <w:numFmt w:val="decimal"/>
      <w:lvlText w:val="%1."/>
      <w:lvlJc w:val="left"/>
      <w:pPr>
        <w:ind w:left="75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224C87"/>
    <w:multiLevelType w:val="hybridMultilevel"/>
    <w:tmpl w:val="3528CED4"/>
    <w:lvl w:ilvl="0" w:tplc="58A07E9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807"/>
    <w:multiLevelType w:val="hybridMultilevel"/>
    <w:tmpl w:val="38A0BEF0"/>
    <w:lvl w:ilvl="0" w:tplc="9886F1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7E46"/>
    <w:multiLevelType w:val="hybridMultilevel"/>
    <w:tmpl w:val="14F696A4"/>
    <w:lvl w:ilvl="0" w:tplc="55F64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AF6"/>
    <w:multiLevelType w:val="hybridMultilevel"/>
    <w:tmpl w:val="50C60E3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AE03E2"/>
    <w:multiLevelType w:val="hybridMultilevel"/>
    <w:tmpl w:val="43129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7FDC"/>
    <w:multiLevelType w:val="hybridMultilevel"/>
    <w:tmpl w:val="E0D26F9C"/>
    <w:lvl w:ilvl="0" w:tplc="2F145B58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EF242A"/>
    <w:multiLevelType w:val="multilevel"/>
    <w:tmpl w:val="0220F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C5744A"/>
    <w:multiLevelType w:val="hybridMultilevel"/>
    <w:tmpl w:val="14F696A4"/>
    <w:lvl w:ilvl="0" w:tplc="55F64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F1D"/>
    <w:multiLevelType w:val="hybridMultilevel"/>
    <w:tmpl w:val="C3A08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40EAC"/>
    <w:multiLevelType w:val="hybridMultilevel"/>
    <w:tmpl w:val="D4902B06"/>
    <w:lvl w:ilvl="0" w:tplc="040488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61617"/>
    <w:multiLevelType w:val="multilevel"/>
    <w:tmpl w:val="48CE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CF26D3A"/>
    <w:multiLevelType w:val="hybridMultilevel"/>
    <w:tmpl w:val="363041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BD3D7D"/>
    <w:multiLevelType w:val="hybridMultilevel"/>
    <w:tmpl w:val="7284CF16"/>
    <w:lvl w:ilvl="0" w:tplc="2356068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C60CE"/>
    <w:multiLevelType w:val="hybridMultilevel"/>
    <w:tmpl w:val="4476C3C6"/>
    <w:lvl w:ilvl="0" w:tplc="13D64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F7557CE"/>
    <w:multiLevelType w:val="hybridMultilevel"/>
    <w:tmpl w:val="6B94795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305D1E4F"/>
    <w:multiLevelType w:val="hybridMultilevel"/>
    <w:tmpl w:val="D5D2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3C36"/>
    <w:multiLevelType w:val="hybridMultilevel"/>
    <w:tmpl w:val="C45820F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2D5F2A"/>
    <w:multiLevelType w:val="hybridMultilevel"/>
    <w:tmpl w:val="90A45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6949"/>
    <w:multiLevelType w:val="hybridMultilevel"/>
    <w:tmpl w:val="CC80E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914F4"/>
    <w:multiLevelType w:val="hybridMultilevel"/>
    <w:tmpl w:val="05F86D52"/>
    <w:lvl w:ilvl="0" w:tplc="13D64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0B6E99"/>
    <w:multiLevelType w:val="hybridMultilevel"/>
    <w:tmpl w:val="38A0BEF0"/>
    <w:lvl w:ilvl="0" w:tplc="9886F1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4009A"/>
    <w:multiLevelType w:val="hybridMultilevel"/>
    <w:tmpl w:val="3528CED4"/>
    <w:lvl w:ilvl="0" w:tplc="58A07E9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D561A"/>
    <w:multiLevelType w:val="hybridMultilevel"/>
    <w:tmpl w:val="D4902B06"/>
    <w:lvl w:ilvl="0" w:tplc="040488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C95F70"/>
    <w:multiLevelType w:val="multilevel"/>
    <w:tmpl w:val="877E4D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142148"/>
    <w:multiLevelType w:val="hybridMultilevel"/>
    <w:tmpl w:val="38A0BEF0"/>
    <w:lvl w:ilvl="0" w:tplc="9886F1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84BAC"/>
    <w:multiLevelType w:val="hybridMultilevel"/>
    <w:tmpl w:val="1DEA127A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88497E"/>
    <w:multiLevelType w:val="hybridMultilevel"/>
    <w:tmpl w:val="58460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102BF"/>
    <w:multiLevelType w:val="multilevel"/>
    <w:tmpl w:val="0220F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67B2CAF"/>
    <w:multiLevelType w:val="hybridMultilevel"/>
    <w:tmpl w:val="1834C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3D4F19"/>
    <w:multiLevelType w:val="hybridMultilevel"/>
    <w:tmpl w:val="A70C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718E6"/>
    <w:multiLevelType w:val="multilevel"/>
    <w:tmpl w:val="EED02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A9861C8"/>
    <w:multiLevelType w:val="hybridMultilevel"/>
    <w:tmpl w:val="1C00A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766F5"/>
    <w:multiLevelType w:val="multilevel"/>
    <w:tmpl w:val="EED02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40913D6"/>
    <w:multiLevelType w:val="hybridMultilevel"/>
    <w:tmpl w:val="82B83E36"/>
    <w:lvl w:ilvl="0" w:tplc="8C90E450">
      <w:start w:val="12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5" w15:restartNumberingAfterBreak="0">
    <w:nsid w:val="54F3303A"/>
    <w:multiLevelType w:val="hybridMultilevel"/>
    <w:tmpl w:val="77B6F5AC"/>
    <w:lvl w:ilvl="0" w:tplc="5B9E36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50F95"/>
    <w:multiLevelType w:val="hybridMultilevel"/>
    <w:tmpl w:val="B54C9C5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7522B8C"/>
    <w:multiLevelType w:val="hybridMultilevel"/>
    <w:tmpl w:val="9796EF10"/>
    <w:lvl w:ilvl="0" w:tplc="13D64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81D149B"/>
    <w:multiLevelType w:val="hybridMultilevel"/>
    <w:tmpl w:val="83EC931C"/>
    <w:lvl w:ilvl="0" w:tplc="2F145B58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5A07D83"/>
    <w:multiLevelType w:val="hybridMultilevel"/>
    <w:tmpl w:val="4090450E"/>
    <w:lvl w:ilvl="0" w:tplc="A2E8410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C82CCB"/>
    <w:multiLevelType w:val="hybridMultilevel"/>
    <w:tmpl w:val="753CE418"/>
    <w:lvl w:ilvl="0" w:tplc="FA9254A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B003D3C"/>
    <w:multiLevelType w:val="hybridMultilevel"/>
    <w:tmpl w:val="B03A0F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D6CA9"/>
    <w:multiLevelType w:val="hybridMultilevel"/>
    <w:tmpl w:val="DC94D21A"/>
    <w:lvl w:ilvl="0" w:tplc="2F145B58">
      <w:start w:val="1"/>
      <w:numFmt w:val="bullet"/>
      <w:lvlText w:val="­"/>
      <w:lvlJc w:val="left"/>
      <w:pPr>
        <w:ind w:left="21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43" w15:restartNumberingAfterBreak="0">
    <w:nsid w:val="6F9F009A"/>
    <w:multiLevelType w:val="hybridMultilevel"/>
    <w:tmpl w:val="8F6EF62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B23B49"/>
    <w:multiLevelType w:val="hybridMultilevel"/>
    <w:tmpl w:val="23CCC2F0"/>
    <w:lvl w:ilvl="0" w:tplc="A2E8410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A8C1AAA"/>
    <w:multiLevelType w:val="hybridMultilevel"/>
    <w:tmpl w:val="9E8AAC2E"/>
    <w:lvl w:ilvl="0" w:tplc="F0B87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35EEDD0">
      <w:start w:val="9"/>
      <w:numFmt w:val="decimal"/>
      <w:lvlText w:val="%3."/>
      <w:lvlJc w:val="left"/>
      <w:pPr>
        <w:ind w:left="2340" w:hanging="360"/>
      </w:pPr>
      <w:rPr>
        <w:rFonts w:eastAsia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D5763"/>
    <w:multiLevelType w:val="hybridMultilevel"/>
    <w:tmpl w:val="3528CED4"/>
    <w:lvl w:ilvl="0" w:tplc="58A07E9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5380E"/>
    <w:multiLevelType w:val="multilevel"/>
    <w:tmpl w:val="3E84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EF3C47"/>
    <w:multiLevelType w:val="hybridMultilevel"/>
    <w:tmpl w:val="5A7221C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6"/>
  </w:num>
  <w:num w:numId="3">
    <w:abstractNumId w:val="28"/>
  </w:num>
  <w:num w:numId="4">
    <w:abstractNumId w:val="34"/>
  </w:num>
  <w:num w:numId="5">
    <w:abstractNumId w:val="18"/>
  </w:num>
  <w:num w:numId="6">
    <w:abstractNumId w:val="39"/>
  </w:num>
  <w:num w:numId="7">
    <w:abstractNumId w:val="27"/>
  </w:num>
  <w:num w:numId="8">
    <w:abstractNumId w:val="24"/>
  </w:num>
  <w:num w:numId="9">
    <w:abstractNumId w:val="0"/>
  </w:num>
  <w:num w:numId="10">
    <w:abstractNumId w:val="15"/>
  </w:num>
  <w:num w:numId="11">
    <w:abstractNumId w:val="31"/>
  </w:num>
  <w:num w:numId="12">
    <w:abstractNumId w:val="3"/>
  </w:num>
  <w:num w:numId="13">
    <w:abstractNumId w:val="32"/>
  </w:num>
  <w:num w:numId="14">
    <w:abstractNumId w:val="9"/>
  </w:num>
  <w:num w:numId="15">
    <w:abstractNumId w:val="16"/>
  </w:num>
  <w:num w:numId="16">
    <w:abstractNumId w:val="40"/>
  </w:num>
  <w:num w:numId="17">
    <w:abstractNumId w:val="5"/>
  </w:num>
  <w:num w:numId="18">
    <w:abstractNumId w:val="37"/>
  </w:num>
  <w:num w:numId="19">
    <w:abstractNumId w:val="45"/>
  </w:num>
  <w:num w:numId="20">
    <w:abstractNumId w:val="19"/>
  </w:num>
  <w:num w:numId="21">
    <w:abstractNumId w:val="23"/>
  </w:num>
  <w:num w:numId="22">
    <w:abstractNumId w:val="14"/>
  </w:num>
  <w:num w:numId="23">
    <w:abstractNumId w:val="43"/>
  </w:num>
  <w:num w:numId="24">
    <w:abstractNumId w:val="17"/>
  </w:num>
  <w:num w:numId="25">
    <w:abstractNumId w:val="29"/>
  </w:num>
  <w:num w:numId="26">
    <w:abstractNumId w:val="44"/>
  </w:num>
  <w:num w:numId="27">
    <w:abstractNumId w:val="26"/>
  </w:num>
  <w:num w:numId="28">
    <w:abstractNumId w:val="36"/>
  </w:num>
  <w:num w:numId="29">
    <w:abstractNumId w:val="20"/>
  </w:num>
  <w:num w:numId="30">
    <w:abstractNumId w:val="48"/>
  </w:num>
  <w:num w:numId="31">
    <w:abstractNumId w:val="4"/>
  </w:num>
  <w:num w:numId="32">
    <w:abstractNumId w:val="10"/>
  </w:num>
  <w:num w:numId="33">
    <w:abstractNumId w:val="21"/>
  </w:num>
  <w:num w:numId="34">
    <w:abstractNumId w:val="25"/>
  </w:num>
  <w:num w:numId="35">
    <w:abstractNumId w:val="7"/>
  </w:num>
  <w:num w:numId="36">
    <w:abstractNumId w:val="1"/>
  </w:num>
  <w:num w:numId="37">
    <w:abstractNumId w:val="22"/>
  </w:num>
  <w:num w:numId="38">
    <w:abstractNumId w:val="30"/>
  </w:num>
  <w:num w:numId="39">
    <w:abstractNumId w:val="35"/>
  </w:num>
  <w:num w:numId="40">
    <w:abstractNumId w:val="33"/>
  </w:num>
  <w:num w:numId="41">
    <w:abstractNumId w:val="8"/>
  </w:num>
  <w:num w:numId="42">
    <w:abstractNumId w:val="41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 w:numId="63">
    <w:abstractNumId w:val="42"/>
  </w:num>
  <w:num w:numId="64">
    <w:abstractNumId w:val="6"/>
  </w:num>
  <w:num w:numId="65">
    <w:abstractNumId w:val="38"/>
  </w:num>
  <w:num w:numId="66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BF"/>
    <w:rsid w:val="00002D10"/>
    <w:rsid w:val="00003A63"/>
    <w:rsid w:val="00007155"/>
    <w:rsid w:val="00010D5A"/>
    <w:rsid w:val="00011DA8"/>
    <w:rsid w:val="00012141"/>
    <w:rsid w:val="00015536"/>
    <w:rsid w:val="000156C7"/>
    <w:rsid w:val="00024EEB"/>
    <w:rsid w:val="000263F3"/>
    <w:rsid w:val="0002785F"/>
    <w:rsid w:val="00027DC0"/>
    <w:rsid w:val="00033742"/>
    <w:rsid w:val="00034FE7"/>
    <w:rsid w:val="00035C3F"/>
    <w:rsid w:val="00040302"/>
    <w:rsid w:val="000501C5"/>
    <w:rsid w:val="00050530"/>
    <w:rsid w:val="000553B3"/>
    <w:rsid w:val="00063822"/>
    <w:rsid w:val="0006473D"/>
    <w:rsid w:val="00064E50"/>
    <w:rsid w:val="000714C7"/>
    <w:rsid w:val="000723DA"/>
    <w:rsid w:val="00072F80"/>
    <w:rsid w:val="0008010C"/>
    <w:rsid w:val="00080527"/>
    <w:rsid w:val="000836D4"/>
    <w:rsid w:val="0008528D"/>
    <w:rsid w:val="00085761"/>
    <w:rsid w:val="0009008F"/>
    <w:rsid w:val="000939C5"/>
    <w:rsid w:val="00095034"/>
    <w:rsid w:val="000A06C1"/>
    <w:rsid w:val="000A1CC7"/>
    <w:rsid w:val="000A46DB"/>
    <w:rsid w:val="000A604F"/>
    <w:rsid w:val="000A613B"/>
    <w:rsid w:val="000A6341"/>
    <w:rsid w:val="000B09EE"/>
    <w:rsid w:val="000C1492"/>
    <w:rsid w:val="000C14A0"/>
    <w:rsid w:val="000C34AD"/>
    <w:rsid w:val="000C37DF"/>
    <w:rsid w:val="000C671A"/>
    <w:rsid w:val="000D0230"/>
    <w:rsid w:val="000D0CC2"/>
    <w:rsid w:val="000D3743"/>
    <w:rsid w:val="000D383E"/>
    <w:rsid w:val="000D56E1"/>
    <w:rsid w:val="000E0127"/>
    <w:rsid w:val="000E0B92"/>
    <w:rsid w:val="000E4896"/>
    <w:rsid w:val="000F2017"/>
    <w:rsid w:val="000F6A30"/>
    <w:rsid w:val="000F71E9"/>
    <w:rsid w:val="000F7668"/>
    <w:rsid w:val="001016F0"/>
    <w:rsid w:val="001031B4"/>
    <w:rsid w:val="00105E64"/>
    <w:rsid w:val="00113F47"/>
    <w:rsid w:val="00114907"/>
    <w:rsid w:val="00114EC9"/>
    <w:rsid w:val="001152D4"/>
    <w:rsid w:val="00115783"/>
    <w:rsid w:val="001172B2"/>
    <w:rsid w:val="001177CA"/>
    <w:rsid w:val="00117F37"/>
    <w:rsid w:val="0012035E"/>
    <w:rsid w:val="001242E5"/>
    <w:rsid w:val="00124EC4"/>
    <w:rsid w:val="00125A6F"/>
    <w:rsid w:val="00133E1F"/>
    <w:rsid w:val="00134255"/>
    <w:rsid w:val="001344AA"/>
    <w:rsid w:val="00140BFF"/>
    <w:rsid w:val="0014143C"/>
    <w:rsid w:val="001431E3"/>
    <w:rsid w:val="00143B3C"/>
    <w:rsid w:val="00143D22"/>
    <w:rsid w:val="00156F92"/>
    <w:rsid w:val="0016108E"/>
    <w:rsid w:val="00161F89"/>
    <w:rsid w:val="00167125"/>
    <w:rsid w:val="00174C9F"/>
    <w:rsid w:val="00174D08"/>
    <w:rsid w:val="0017661E"/>
    <w:rsid w:val="00181312"/>
    <w:rsid w:val="00184EB8"/>
    <w:rsid w:val="0019508D"/>
    <w:rsid w:val="001A16A7"/>
    <w:rsid w:val="001A1ECC"/>
    <w:rsid w:val="001A25C4"/>
    <w:rsid w:val="001A2CA6"/>
    <w:rsid w:val="001A37DD"/>
    <w:rsid w:val="001A5B1C"/>
    <w:rsid w:val="001B0660"/>
    <w:rsid w:val="001C1053"/>
    <w:rsid w:val="001C1EB3"/>
    <w:rsid w:val="001C2F2D"/>
    <w:rsid w:val="001C31BC"/>
    <w:rsid w:val="001C56F7"/>
    <w:rsid w:val="001D0317"/>
    <w:rsid w:val="001D059F"/>
    <w:rsid w:val="001D5719"/>
    <w:rsid w:val="001D7DAF"/>
    <w:rsid w:val="001E226D"/>
    <w:rsid w:val="001F28EF"/>
    <w:rsid w:val="001F2A54"/>
    <w:rsid w:val="001F6F8E"/>
    <w:rsid w:val="002003E9"/>
    <w:rsid w:val="0020568E"/>
    <w:rsid w:val="002128D4"/>
    <w:rsid w:val="00213212"/>
    <w:rsid w:val="002157E9"/>
    <w:rsid w:val="002217E3"/>
    <w:rsid w:val="0022483F"/>
    <w:rsid w:val="00224B85"/>
    <w:rsid w:val="00225BEF"/>
    <w:rsid w:val="00227C29"/>
    <w:rsid w:val="00230583"/>
    <w:rsid w:val="002314D0"/>
    <w:rsid w:val="002355C2"/>
    <w:rsid w:val="00235799"/>
    <w:rsid w:val="002372FA"/>
    <w:rsid w:val="00237ACC"/>
    <w:rsid w:val="002445CC"/>
    <w:rsid w:val="00245D04"/>
    <w:rsid w:val="0026251D"/>
    <w:rsid w:val="002648FB"/>
    <w:rsid w:val="00265B4B"/>
    <w:rsid w:val="00266D05"/>
    <w:rsid w:val="002671E3"/>
    <w:rsid w:val="00272A9B"/>
    <w:rsid w:val="00272EE1"/>
    <w:rsid w:val="00274DBA"/>
    <w:rsid w:val="002765FC"/>
    <w:rsid w:val="0027671D"/>
    <w:rsid w:val="00280A62"/>
    <w:rsid w:val="00285661"/>
    <w:rsid w:val="00291116"/>
    <w:rsid w:val="00291B9C"/>
    <w:rsid w:val="002943E9"/>
    <w:rsid w:val="002A2E6A"/>
    <w:rsid w:val="002A3AE7"/>
    <w:rsid w:val="002A6AA2"/>
    <w:rsid w:val="002B160D"/>
    <w:rsid w:val="002B216E"/>
    <w:rsid w:val="002B72CD"/>
    <w:rsid w:val="002C01F9"/>
    <w:rsid w:val="002C3D3F"/>
    <w:rsid w:val="002C7848"/>
    <w:rsid w:val="002D42E3"/>
    <w:rsid w:val="002F1BAE"/>
    <w:rsid w:val="002F4B8B"/>
    <w:rsid w:val="002F54EA"/>
    <w:rsid w:val="002F681D"/>
    <w:rsid w:val="00300E2D"/>
    <w:rsid w:val="003066A7"/>
    <w:rsid w:val="00307FB4"/>
    <w:rsid w:val="00311CB9"/>
    <w:rsid w:val="00311D70"/>
    <w:rsid w:val="00312A82"/>
    <w:rsid w:val="00313267"/>
    <w:rsid w:val="00313C43"/>
    <w:rsid w:val="00313F47"/>
    <w:rsid w:val="00314886"/>
    <w:rsid w:val="00321D52"/>
    <w:rsid w:val="00325B41"/>
    <w:rsid w:val="00333315"/>
    <w:rsid w:val="00334241"/>
    <w:rsid w:val="003406CF"/>
    <w:rsid w:val="00344326"/>
    <w:rsid w:val="0035455F"/>
    <w:rsid w:val="003551B3"/>
    <w:rsid w:val="003556A6"/>
    <w:rsid w:val="0036034E"/>
    <w:rsid w:val="00362200"/>
    <w:rsid w:val="00363DB2"/>
    <w:rsid w:val="00366443"/>
    <w:rsid w:val="0037124F"/>
    <w:rsid w:val="00373FDA"/>
    <w:rsid w:val="003743AE"/>
    <w:rsid w:val="00374B67"/>
    <w:rsid w:val="003803EA"/>
    <w:rsid w:val="0038102A"/>
    <w:rsid w:val="0038116A"/>
    <w:rsid w:val="0039035B"/>
    <w:rsid w:val="00390CED"/>
    <w:rsid w:val="0039156F"/>
    <w:rsid w:val="00394581"/>
    <w:rsid w:val="003954DD"/>
    <w:rsid w:val="0039630B"/>
    <w:rsid w:val="00396537"/>
    <w:rsid w:val="003974D4"/>
    <w:rsid w:val="003A22A0"/>
    <w:rsid w:val="003A367B"/>
    <w:rsid w:val="003A6A6D"/>
    <w:rsid w:val="003A7F12"/>
    <w:rsid w:val="003B005A"/>
    <w:rsid w:val="003B5546"/>
    <w:rsid w:val="003B745B"/>
    <w:rsid w:val="003B76F6"/>
    <w:rsid w:val="003C46E5"/>
    <w:rsid w:val="003C599A"/>
    <w:rsid w:val="003C629F"/>
    <w:rsid w:val="003C770E"/>
    <w:rsid w:val="003D158E"/>
    <w:rsid w:val="003D24A1"/>
    <w:rsid w:val="003D257B"/>
    <w:rsid w:val="003D2E64"/>
    <w:rsid w:val="003D6953"/>
    <w:rsid w:val="003E0AF1"/>
    <w:rsid w:val="003E4327"/>
    <w:rsid w:val="003E48AF"/>
    <w:rsid w:val="003E50AC"/>
    <w:rsid w:val="003E69D0"/>
    <w:rsid w:val="003F063B"/>
    <w:rsid w:val="003F226A"/>
    <w:rsid w:val="003F2B46"/>
    <w:rsid w:val="00405690"/>
    <w:rsid w:val="00410AC0"/>
    <w:rsid w:val="00414D08"/>
    <w:rsid w:val="00415527"/>
    <w:rsid w:val="00416A17"/>
    <w:rsid w:val="004238AB"/>
    <w:rsid w:val="004264F4"/>
    <w:rsid w:val="00426E57"/>
    <w:rsid w:val="00427EA9"/>
    <w:rsid w:val="004313FA"/>
    <w:rsid w:val="00431709"/>
    <w:rsid w:val="004334AF"/>
    <w:rsid w:val="00435B1C"/>
    <w:rsid w:val="00435BE2"/>
    <w:rsid w:val="00435E2F"/>
    <w:rsid w:val="0044229B"/>
    <w:rsid w:val="00452157"/>
    <w:rsid w:val="0046457B"/>
    <w:rsid w:val="00464634"/>
    <w:rsid w:val="00466147"/>
    <w:rsid w:val="004711F5"/>
    <w:rsid w:val="00471D52"/>
    <w:rsid w:val="00474754"/>
    <w:rsid w:val="00474985"/>
    <w:rsid w:val="00475DE0"/>
    <w:rsid w:val="004828D1"/>
    <w:rsid w:val="004838B9"/>
    <w:rsid w:val="004840D0"/>
    <w:rsid w:val="00485BD9"/>
    <w:rsid w:val="00487D9E"/>
    <w:rsid w:val="004914FB"/>
    <w:rsid w:val="00491A17"/>
    <w:rsid w:val="00491ECD"/>
    <w:rsid w:val="00492A5C"/>
    <w:rsid w:val="00494B9F"/>
    <w:rsid w:val="0049592A"/>
    <w:rsid w:val="004A1149"/>
    <w:rsid w:val="004B09F1"/>
    <w:rsid w:val="004B6A73"/>
    <w:rsid w:val="004B7EA3"/>
    <w:rsid w:val="004B7ED0"/>
    <w:rsid w:val="004C152F"/>
    <w:rsid w:val="004D0EBB"/>
    <w:rsid w:val="004D3360"/>
    <w:rsid w:val="004E22C1"/>
    <w:rsid w:val="004E38EC"/>
    <w:rsid w:val="004F391C"/>
    <w:rsid w:val="004F62F7"/>
    <w:rsid w:val="00501571"/>
    <w:rsid w:val="0050229D"/>
    <w:rsid w:val="005037E4"/>
    <w:rsid w:val="0050782B"/>
    <w:rsid w:val="00511AD2"/>
    <w:rsid w:val="00512F29"/>
    <w:rsid w:val="005163FD"/>
    <w:rsid w:val="00525E02"/>
    <w:rsid w:val="00525E80"/>
    <w:rsid w:val="005265A2"/>
    <w:rsid w:val="00526D76"/>
    <w:rsid w:val="00531092"/>
    <w:rsid w:val="00533D0B"/>
    <w:rsid w:val="00544466"/>
    <w:rsid w:val="00550280"/>
    <w:rsid w:val="00550D71"/>
    <w:rsid w:val="00551A87"/>
    <w:rsid w:val="0055301C"/>
    <w:rsid w:val="0055326F"/>
    <w:rsid w:val="005546FB"/>
    <w:rsid w:val="00555557"/>
    <w:rsid w:val="005559D4"/>
    <w:rsid w:val="005604BB"/>
    <w:rsid w:val="005664F6"/>
    <w:rsid w:val="005746EF"/>
    <w:rsid w:val="0057515D"/>
    <w:rsid w:val="005751B6"/>
    <w:rsid w:val="00576E95"/>
    <w:rsid w:val="00583BC7"/>
    <w:rsid w:val="0058691D"/>
    <w:rsid w:val="005928FE"/>
    <w:rsid w:val="005963F8"/>
    <w:rsid w:val="005A3A48"/>
    <w:rsid w:val="005A615A"/>
    <w:rsid w:val="005B0C4B"/>
    <w:rsid w:val="005B4375"/>
    <w:rsid w:val="005B6F52"/>
    <w:rsid w:val="005B75B7"/>
    <w:rsid w:val="005B7783"/>
    <w:rsid w:val="005C0095"/>
    <w:rsid w:val="005C1CA6"/>
    <w:rsid w:val="005C2D9F"/>
    <w:rsid w:val="005C58BE"/>
    <w:rsid w:val="005C660E"/>
    <w:rsid w:val="005D05EA"/>
    <w:rsid w:val="005D0BDB"/>
    <w:rsid w:val="005D1103"/>
    <w:rsid w:val="005D5CEE"/>
    <w:rsid w:val="005D5E86"/>
    <w:rsid w:val="005D6663"/>
    <w:rsid w:val="005D7E60"/>
    <w:rsid w:val="005E17B9"/>
    <w:rsid w:val="005E2B15"/>
    <w:rsid w:val="005E427A"/>
    <w:rsid w:val="005F175E"/>
    <w:rsid w:val="005F2992"/>
    <w:rsid w:val="005F4C1B"/>
    <w:rsid w:val="005F5375"/>
    <w:rsid w:val="005F646D"/>
    <w:rsid w:val="00602FCD"/>
    <w:rsid w:val="006031CC"/>
    <w:rsid w:val="00604B77"/>
    <w:rsid w:val="0060780B"/>
    <w:rsid w:val="0062224C"/>
    <w:rsid w:val="006241EF"/>
    <w:rsid w:val="006301CE"/>
    <w:rsid w:val="00630EE9"/>
    <w:rsid w:val="00634575"/>
    <w:rsid w:val="00635691"/>
    <w:rsid w:val="006362EE"/>
    <w:rsid w:val="00642139"/>
    <w:rsid w:val="00646438"/>
    <w:rsid w:val="0065187E"/>
    <w:rsid w:val="00652B89"/>
    <w:rsid w:val="0065453A"/>
    <w:rsid w:val="0065654A"/>
    <w:rsid w:val="00657838"/>
    <w:rsid w:val="00662DB1"/>
    <w:rsid w:val="00663CB1"/>
    <w:rsid w:val="00666B73"/>
    <w:rsid w:val="00671293"/>
    <w:rsid w:val="00673983"/>
    <w:rsid w:val="00673A23"/>
    <w:rsid w:val="006763EF"/>
    <w:rsid w:val="00676470"/>
    <w:rsid w:val="00676E56"/>
    <w:rsid w:val="00676EB8"/>
    <w:rsid w:val="006803B0"/>
    <w:rsid w:val="0068345C"/>
    <w:rsid w:val="00684C28"/>
    <w:rsid w:val="006858FA"/>
    <w:rsid w:val="00685A48"/>
    <w:rsid w:val="00691C27"/>
    <w:rsid w:val="00691CE3"/>
    <w:rsid w:val="00693712"/>
    <w:rsid w:val="00693E77"/>
    <w:rsid w:val="00693EAF"/>
    <w:rsid w:val="006960E5"/>
    <w:rsid w:val="006A06E7"/>
    <w:rsid w:val="006A2E84"/>
    <w:rsid w:val="006A78EF"/>
    <w:rsid w:val="006B3242"/>
    <w:rsid w:val="006B5569"/>
    <w:rsid w:val="006B5734"/>
    <w:rsid w:val="006B6441"/>
    <w:rsid w:val="006B7F95"/>
    <w:rsid w:val="006C4DBE"/>
    <w:rsid w:val="006D0C81"/>
    <w:rsid w:val="006D1A5E"/>
    <w:rsid w:val="006D229F"/>
    <w:rsid w:val="006D25F6"/>
    <w:rsid w:val="006D2D8A"/>
    <w:rsid w:val="006E47A0"/>
    <w:rsid w:val="006E4D82"/>
    <w:rsid w:val="006F2D90"/>
    <w:rsid w:val="00702750"/>
    <w:rsid w:val="00702DB8"/>
    <w:rsid w:val="00704340"/>
    <w:rsid w:val="00707A37"/>
    <w:rsid w:val="007123E6"/>
    <w:rsid w:val="007127A9"/>
    <w:rsid w:val="00712F37"/>
    <w:rsid w:val="007159BD"/>
    <w:rsid w:val="00716814"/>
    <w:rsid w:val="00721814"/>
    <w:rsid w:val="0072381F"/>
    <w:rsid w:val="007244B2"/>
    <w:rsid w:val="00725D6C"/>
    <w:rsid w:val="007311B9"/>
    <w:rsid w:val="00732BC6"/>
    <w:rsid w:val="007370D1"/>
    <w:rsid w:val="00742BB7"/>
    <w:rsid w:val="00743A02"/>
    <w:rsid w:val="00743E64"/>
    <w:rsid w:val="00745067"/>
    <w:rsid w:val="007476BD"/>
    <w:rsid w:val="007477AE"/>
    <w:rsid w:val="00747F1E"/>
    <w:rsid w:val="00750239"/>
    <w:rsid w:val="0075218D"/>
    <w:rsid w:val="00752242"/>
    <w:rsid w:val="00752623"/>
    <w:rsid w:val="007528D5"/>
    <w:rsid w:val="007573BB"/>
    <w:rsid w:val="00757B6A"/>
    <w:rsid w:val="007635C4"/>
    <w:rsid w:val="0076619B"/>
    <w:rsid w:val="007701FC"/>
    <w:rsid w:val="00773BF1"/>
    <w:rsid w:val="007741E8"/>
    <w:rsid w:val="00780E2A"/>
    <w:rsid w:val="00781A7D"/>
    <w:rsid w:val="00787F45"/>
    <w:rsid w:val="00795381"/>
    <w:rsid w:val="00795DF2"/>
    <w:rsid w:val="007A23FE"/>
    <w:rsid w:val="007A3C18"/>
    <w:rsid w:val="007A3F5D"/>
    <w:rsid w:val="007A4221"/>
    <w:rsid w:val="007A480C"/>
    <w:rsid w:val="007A4C21"/>
    <w:rsid w:val="007A4C46"/>
    <w:rsid w:val="007B48B5"/>
    <w:rsid w:val="007C032B"/>
    <w:rsid w:val="007C1CAA"/>
    <w:rsid w:val="007C31EA"/>
    <w:rsid w:val="007C5099"/>
    <w:rsid w:val="007C62C3"/>
    <w:rsid w:val="007D32F4"/>
    <w:rsid w:val="007D4EBF"/>
    <w:rsid w:val="007D5DD0"/>
    <w:rsid w:val="007D60AC"/>
    <w:rsid w:val="007E0DC1"/>
    <w:rsid w:val="007E744D"/>
    <w:rsid w:val="008013C3"/>
    <w:rsid w:val="00801B3B"/>
    <w:rsid w:val="0080512C"/>
    <w:rsid w:val="008069D4"/>
    <w:rsid w:val="008136F4"/>
    <w:rsid w:val="00813E06"/>
    <w:rsid w:val="00813FC7"/>
    <w:rsid w:val="00815DEE"/>
    <w:rsid w:val="00822EBF"/>
    <w:rsid w:val="00823384"/>
    <w:rsid w:val="00825BBD"/>
    <w:rsid w:val="00831135"/>
    <w:rsid w:val="00831E22"/>
    <w:rsid w:val="00832433"/>
    <w:rsid w:val="00834E0C"/>
    <w:rsid w:val="00835119"/>
    <w:rsid w:val="008404FD"/>
    <w:rsid w:val="008431AE"/>
    <w:rsid w:val="008433F2"/>
    <w:rsid w:val="008444E7"/>
    <w:rsid w:val="008537EA"/>
    <w:rsid w:val="00853AA4"/>
    <w:rsid w:val="00854C08"/>
    <w:rsid w:val="0085595C"/>
    <w:rsid w:val="00861C41"/>
    <w:rsid w:val="00863C0F"/>
    <w:rsid w:val="00864FAE"/>
    <w:rsid w:val="008744BF"/>
    <w:rsid w:val="00880DBE"/>
    <w:rsid w:val="00881B1D"/>
    <w:rsid w:val="00881E7A"/>
    <w:rsid w:val="008901D4"/>
    <w:rsid w:val="00897A4F"/>
    <w:rsid w:val="008A1229"/>
    <w:rsid w:val="008A3DA4"/>
    <w:rsid w:val="008A4BCD"/>
    <w:rsid w:val="008A4F6E"/>
    <w:rsid w:val="008A572D"/>
    <w:rsid w:val="008A640D"/>
    <w:rsid w:val="008A6BDC"/>
    <w:rsid w:val="008A75BD"/>
    <w:rsid w:val="008A7C80"/>
    <w:rsid w:val="008A7D31"/>
    <w:rsid w:val="008B0330"/>
    <w:rsid w:val="008B1293"/>
    <w:rsid w:val="008B15C3"/>
    <w:rsid w:val="008B23F2"/>
    <w:rsid w:val="008B3682"/>
    <w:rsid w:val="008B4B17"/>
    <w:rsid w:val="008B4C74"/>
    <w:rsid w:val="008B6C44"/>
    <w:rsid w:val="008B6D68"/>
    <w:rsid w:val="008C08D5"/>
    <w:rsid w:val="008C2CB3"/>
    <w:rsid w:val="008D1B1F"/>
    <w:rsid w:val="008D1BFD"/>
    <w:rsid w:val="008D3BCF"/>
    <w:rsid w:val="008D4D73"/>
    <w:rsid w:val="008D727E"/>
    <w:rsid w:val="008D7A20"/>
    <w:rsid w:val="008E0135"/>
    <w:rsid w:val="008E06B4"/>
    <w:rsid w:val="008E0845"/>
    <w:rsid w:val="008E2C04"/>
    <w:rsid w:val="008E76C9"/>
    <w:rsid w:val="008F10BD"/>
    <w:rsid w:val="008F4B0F"/>
    <w:rsid w:val="008F720D"/>
    <w:rsid w:val="009005DB"/>
    <w:rsid w:val="00901514"/>
    <w:rsid w:val="00901DA6"/>
    <w:rsid w:val="0090413D"/>
    <w:rsid w:val="00904191"/>
    <w:rsid w:val="009078D0"/>
    <w:rsid w:val="00911D34"/>
    <w:rsid w:val="00912725"/>
    <w:rsid w:val="00915CBA"/>
    <w:rsid w:val="0091652A"/>
    <w:rsid w:val="00916561"/>
    <w:rsid w:val="009206FC"/>
    <w:rsid w:val="00920D0C"/>
    <w:rsid w:val="0092760A"/>
    <w:rsid w:val="009278EA"/>
    <w:rsid w:val="00933D77"/>
    <w:rsid w:val="0093593B"/>
    <w:rsid w:val="00936042"/>
    <w:rsid w:val="00936339"/>
    <w:rsid w:val="009400D7"/>
    <w:rsid w:val="00943890"/>
    <w:rsid w:val="009467F2"/>
    <w:rsid w:val="009607DE"/>
    <w:rsid w:val="00964612"/>
    <w:rsid w:val="00965123"/>
    <w:rsid w:val="009654A5"/>
    <w:rsid w:val="0096624B"/>
    <w:rsid w:val="009670CA"/>
    <w:rsid w:val="00967BED"/>
    <w:rsid w:val="00970077"/>
    <w:rsid w:val="00971D47"/>
    <w:rsid w:val="00974E78"/>
    <w:rsid w:val="00976DE3"/>
    <w:rsid w:val="00981969"/>
    <w:rsid w:val="00983B92"/>
    <w:rsid w:val="00984597"/>
    <w:rsid w:val="00985CF1"/>
    <w:rsid w:val="009923C3"/>
    <w:rsid w:val="00996B18"/>
    <w:rsid w:val="009A5B2A"/>
    <w:rsid w:val="009A6044"/>
    <w:rsid w:val="009B41DB"/>
    <w:rsid w:val="009B4AC8"/>
    <w:rsid w:val="009B4CD9"/>
    <w:rsid w:val="009B711E"/>
    <w:rsid w:val="009B7168"/>
    <w:rsid w:val="009C0653"/>
    <w:rsid w:val="009C0C81"/>
    <w:rsid w:val="009C1DF9"/>
    <w:rsid w:val="009C4970"/>
    <w:rsid w:val="009C4BDF"/>
    <w:rsid w:val="009C5427"/>
    <w:rsid w:val="009C69EB"/>
    <w:rsid w:val="009D1D67"/>
    <w:rsid w:val="009D641D"/>
    <w:rsid w:val="009E0870"/>
    <w:rsid w:val="009E28AF"/>
    <w:rsid w:val="009E3215"/>
    <w:rsid w:val="009E348F"/>
    <w:rsid w:val="009E6303"/>
    <w:rsid w:val="009E7A14"/>
    <w:rsid w:val="009E7AA2"/>
    <w:rsid w:val="009F4C07"/>
    <w:rsid w:val="009F5FEE"/>
    <w:rsid w:val="009F6411"/>
    <w:rsid w:val="009F78BC"/>
    <w:rsid w:val="00A0011F"/>
    <w:rsid w:val="00A01ACE"/>
    <w:rsid w:val="00A02976"/>
    <w:rsid w:val="00A06040"/>
    <w:rsid w:val="00A061D5"/>
    <w:rsid w:val="00A12BCD"/>
    <w:rsid w:val="00A1711E"/>
    <w:rsid w:val="00A216A9"/>
    <w:rsid w:val="00A239A2"/>
    <w:rsid w:val="00A327F1"/>
    <w:rsid w:val="00A32F7D"/>
    <w:rsid w:val="00A34CA0"/>
    <w:rsid w:val="00A3720E"/>
    <w:rsid w:val="00A431D2"/>
    <w:rsid w:val="00A4489F"/>
    <w:rsid w:val="00A45F72"/>
    <w:rsid w:val="00A52DB1"/>
    <w:rsid w:val="00A53ADB"/>
    <w:rsid w:val="00A55A0A"/>
    <w:rsid w:val="00A56FFC"/>
    <w:rsid w:val="00A5758A"/>
    <w:rsid w:val="00A57654"/>
    <w:rsid w:val="00A634B2"/>
    <w:rsid w:val="00A64CE7"/>
    <w:rsid w:val="00A66C41"/>
    <w:rsid w:val="00A67532"/>
    <w:rsid w:val="00A720F8"/>
    <w:rsid w:val="00A731C2"/>
    <w:rsid w:val="00A75634"/>
    <w:rsid w:val="00A7778A"/>
    <w:rsid w:val="00A8166B"/>
    <w:rsid w:val="00A83445"/>
    <w:rsid w:val="00A867B0"/>
    <w:rsid w:val="00A917F0"/>
    <w:rsid w:val="00A95C28"/>
    <w:rsid w:val="00AA2CFE"/>
    <w:rsid w:val="00AA3B79"/>
    <w:rsid w:val="00AA3FE0"/>
    <w:rsid w:val="00AA4713"/>
    <w:rsid w:val="00AB2F61"/>
    <w:rsid w:val="00AB3198"/>
    <w:rsid w:val="00AC05D2"/>
    <w:rsid w:val="00AC6A47"/>
    <w:rsid w:val="00AD3A46"/>
    <w:rsid w:val="00AD4F81"/>
    <w:rsid w:val="00AD7358"/>
    <w:rsid w:val="00AD79C7"/>
    <w:rsid w:val="00AD7CAB"/>
    <w:rsid w:val="00AE00C9"/>
    <w:rsid w:val="00AE00D4"/>
    <w:rsid w:val="00AE08B6"/>
    <w:rsid w:val="00AE2EE2"/>
    <w:rsid w:val="00AF0E11"/>
    <w:rsid w:val="00AF44ED"/>
    <w:rsid w:val="00AF5890"/>
    <w:rsid w:val="00AF7D67"/>
    <w:rsid w:val="00B00DFD"/>
    <w:rsid w:val="00B01211"/>
    <w:rsid w:val="00B039A5"/>
    <w:rsid w:val="00B05430"/>
    <w:rsid w:val="00B05DF0"/>
    <w:rsid w:val="00B10D54"/>
    <w:rsid w:val="00B142E4"/>
    <w:rsid w:val="00B17B80"/>
    <w:rsid w:val="00B2446E"/>
    <w:rsid w:val="00B27F0B"/>
    <w:rsid w:val="00B27F95"/>
    <w:rsid w:val="00B301CF"/>
    <w:rsid w:val="00B352B2"/>
    <w:rsid w:val="00B410DE"/>
    <w:rsid w:val="00B446F0"/>
    <w:rsid w:val="00B44C7A"/>
    <w:rsid w:val="00B44F6B"/>
    <w:rsid w:val="00B46CD4"/>
    <w:rsid w:val="00B50FE4"/>
    <w:rsid w:val="00B540B8"/>
    <w:rsid w:val="00B54AFD"/>
    <w:rsid w:val="00B560D5"/>
    <w:rsid w:val="00B61BFC"/>
    <w:rsid w:val="00B62F9E"/>
    <w:rsid w:val="00B631D4"/>
    <w:rsid w:val="00B63DF8"/>
    <w:rsid w:val="00B6584B"/>
    <w:rsid w:val="00B67412"/>
    <w:rsid w:val="00B719F9"/>
    <w:rsid w:val="00B72D8D"/>
    <w:rsid w:val="00B74158"/>
    <w:rsid w:val="00B75D71"/>
    <w:rsid w:val="00B76AD7"/>
    <w:rsid w:val="00B76E50"/>
    <w:rsid w:val="00B80E75"/>
    <w:rsid w:val="00B86995"/>
    <w:rsid w:val="00B9015E"/>
    <w:rsid w:val="00B9552A"/>
    <w:rsid w:val="00B9682A"/>
    <w:rsid w:val="00BA2DE4"/>
    <w:rsid w:val="00BA5AD8"/>
    <w:rsid w:val="00BB1FF5"/>
    <w:rsid w:val="00BB42D1"/>
    <w:rsid w:val="00BB5758"/>
    <w:rsid w:val="00BC16FA"/>
    <w:rsid w:val="00BC286D"/>
    <w:rsid w:val="00BC30DE"/>
    <w:rsid w:val="00BC329F"/>
    <w:rsid w:val="00BC51E9"/>
    <w:rsid w:val="00BC59AA"/>
    <w:rsid w:val="00BC7E35"/>
    <w:rsid w:val="00BD02F5"/>
    <w:rsid w:val="00BD3142"/>
    <w:rsid w:val="00BD4070"/>
    <w:rsid w:val="00BD709B"/>
    <w:rsid w:val="00BE094E"/>
    <w:rsid w:val="00BE3726"/>
    <w:rsid w:val="00BE498C"/>
    <w:rsid w:val="00BF0820"/>
    <w:rsid w:val="00BF0E99"/>
    <w:rsid w:val="00BF14F2"/>
    <w:rsid w:val="00BF2B90"/>
    <w:rsid w:val="00BF2E3D"/>
    <w:rsid w:val="00BF3285"/>
    <w:rsid w:val="00BF3A78"/>
    <w:rsid w:val="00BF5BF9"/>
    <w:rsid w:val="00C01D4C"/>
    <w:rsid w:val="00C055F8"/>
    <w:rsid w:val="00C06E02"/>
    <w:rsid w:val="00C1235C"/>
    <w:rsid w:val="00C15BD3"/>
    <w:rsid w:val="00C16C08"/>
    <w:rsid w:val="00C222A2"/>
    <w:rsid w:val="00C24A73"/>
    <w:rsid w:val="00C262C3"/>
    <w:rsid w:val="00C31F28"/>
    <w:rsid w:val="00C364DC"/>
    <w:rsid w:val="00C405CA"/>
    <w:rsid w:val="00C4271A"/>
    <w:rsid w:val="00C44306"/>
    <w:rsid w:val="00C4528A"/>
    <w:rsid w:val="00C513C6"/>
    <w:rsid w:val="00C55903"/>
    <w:rsid w:val="00C57AC3"/>
    <w:rsid w:val="00C60431"/>
    <w:rsid w:val="00C60737"/>
    <w:rsid w:val="00C622C2"/>
    <w:rsid w:val="00C65132"/>
    <w:rsid w:val="00C65444"/>
    <w:rsid w:val="00C6727F"/>
    <w:rsid w:val="00C72062"/>
    <w:rsid w:val="00C757A0"/>
    <w:rsid w:val="00C76A6B"/>
    <w:rsid w:val="00C801FE"/>
    <w:rsid w:val="00C80B47"/>
    <w:rsid w:val="00C80CBE"/>
    <w:rsid w:val="00C8137C"/>
    <w:rsid w:val="00C817C5"/>
    <w:rsid w:val="00C83E82"/>
    <w:rsid w:val="00C84214"/>
    <w:rsid w:val="00C86D5C"/>
    <w:rsid w:val="00C92658"/>
    <w:rsid w:val="00CA59F7"/>
    <w:rsid w:val="00CA755F"/>
    <w:rsid w:val="00CB28B0"/>
    <w:rsid w:val="00CC1561"/>
    <w:rsid w:val="00CC68B3"/>
    <w:rsid w:val="00CC7076"/>
    <w:rsid w:val="00CC788C"/>
    <w:rsid w:val="00CD0D25"/>
    <w:rsid w:val="00CD47A9"/>
    <w:rsid w:val="00CE068E"/>
    <w:rsid w:val="00CE169A"/>
    <w:rsid w:val="00CE3F96"/>
    <w:rsid w:val="00CE649B"/>
    <w:rsid w:val="00CF5D3E"/>
    <w:rsid w:val="00CF616A"/>
    <w:rsid w:val="00CF7A56"/>
    <w:rsid w:val="00D02332"/>
    <w:rsid w:val="00D023BC"/>
    <w:rsid w:val="00D07EEF"/>
    <w:rsid w:val="00D103DE"/>
    <w:rsid w:val="00D118B1"/>
    <w:rsid w:val="00D146AB"/>
    <w:rsid w:val="00D156C7"/>
    <w:rsid w:val="00D229A8"/>
    <w:rsid w:val="00D234BD"/>
    <w:rsid w:val="00D2673E"/>
    <w:rsid w:val="00D31194"/>
    <w:rsid w:val="00D36A02"/>
    <w:rsid w:val="00D36CE6"/>
    <w:rsid w:val="00D412A3"/>
    <w:rsid w:val="00D43504"/>
    <w:rsid w:val="00D51FFA"/>
    <w:rsid w:val="00D538FC"/>
    <w:rsid w:val="00D540C8"/>
    <w:rsid w:val="00D60E97"/>
    <w:rsid w:val="00D636F7"/>
    <w:rsid w:val="00D678B3"/>
    <w:rsid w:val="00D71E83"/>
    <w:rsid w:val="00D7530F"/>
    <w:rsid w:val="00D7793E"/>
    <w:rsid w:val="00D77DF1"/>
    <w:rsid w:val="00D816F5"/>
    <w:rsid w:val="00D85455"/>
    <w:rsid w:val="00D90AE1"/>
    <w:rsid w:val="00D9252E"/>
    <w:rsid w:val="00D947AD"/>
    <w:rsid w:val="00D94B30"/>
    <w:rsid w:val="00D96FDF"/>
    <w:rsid w:val="00D9746B"/>
    <w:rsid w:val="00DA2D1E"/>
    <w:rsid w:val="00DA50D2"/>
    <w:rsid w:val="00DB7BDA"/>
    <w:rsid w:val="00DC358F"/>
    <w:rsid w:val="00DC4ECC"/>
    <w:rsid w:val="00DC5997"/>
    <w:rsid w:val="00DC6A5C"/>
    <w:rsid w:val="00DC741B"/>
    <w:rsid w:val="00DD0500"/>
    <w:rsid w:val="00DD1FBB"/>
    <w:rsid w:val="00DD351E"/>
    <w:rsid w:val="00DD6B1F"/>
    <w:rsid w:val="00DD6FCC"/>
    <w:rsid w:val="00DE6F9A"/>
    <w:rsid w:val="00DE7977"/>
    <w:rsid w:val="00DF071C"/>
    <w:rsid w:val="00DF40B3"/>
    <w:rsid w:val="00E00C60"/>
    <w:rsid w:val="00E01C7E"/>
    <w:rsid w:val="00E0315E"/>
    <w:rsid w:val="00E0368B"/>
    <w:rsid w:val="00E06417"/>
    <w:rsid w:val="00E12DC6"/>
    <w:rsid w:val="00E15674"/>
    <w:rsid w:val="00E15B04"/>
    <w:rsid w:val="00E17DD4"/>
    <w:rsid w:val="00E22634"/>
    <w:rsid w:val="00E2316E"/>
    <w:rsid w:val="00E33A58"/>
    <w:rsid w:val="00E34405"/>
    <w:rsid w:val="00E35EFC"/>
    <w:rsid w:val="00E3664C"/>
    <w:rsid w:val="00E40B7D"/>
    <w:rsid w:val="00E422BC"/>
    <w:rsid w:val="00E455D8"/>
    <w:rsid w:val="00E52168"/>
    <w:rsid w:val="00E5460A"/>
    <w:rsid w:val="00E546D4"/>
    <w:rsid w:val="00E54A0F"/>
    <w:rsid w:val="00E54D7B"/>
    <w:rsid w:val="00E62C3B"/>
    <w:rsid w:val="00E638ED"/>
    <w:rsid w:val="00E654BF"/>
    <w:rsid w:val="00E65853"/>
    <w:rsid w:val="00E66ACF"/>
    <w:rsid w:val="00E66CA5"/>
    <w:rsid w:val="00E80FB1"/>
    <w:rsid w:val="00E82389"/>
    <w:rsid w:val="00E83756"/>
    <w:rsid w:val="00E869DF"/>
    <w:rsid w:val="00E94F8C"/>
    <w:rsid w:val="00E96458"/>
    <w:rsid w:val="00EA08BA"/>
    <w:rsid w:val="00EA6E3C"/>
    <w:rsid w:val="00EA73BF"/>
    <w:rsid w:val="00EB2C19"/>
    <w:rsid w:val="00EB3425"/>
    <w:rsid w:val="00EB7C70"/>
    <w:rsid w:val="00EC1A6D"/>
    <w:rsid w:val="00EC58A2"/>
    <w:rsid w:val="00EC5FF1"/>
    <w:rsid w:val="00ED2238"/>
    <w:rsid w:val="00ED4871"/>
    <w:rsid w:val="00ED4FDD"/>
    <w:rsid w:val="00ED50B7"/>
    <w:rsid w:val="00ED5CAE"/>
    <w:rsid w:val="00EE28A7"/>
    <w:rsid w:val="00EE3AAF"/>
    <w:rsid w:val="00EE5364"/>
    <w:rsid w:val="00EF0E6E"/>
    <w:rsid w:val="00EF1710"/>
    <w:rsid w:val="00F01C73"/>
    <w:rsid w:val="00F11673"/>
    <w:rsid w:val="00F13370"/>
    <w:rsid w:val="00F14BEF"/>
    <w:rsid w:val="00F17422"/>
    <w:rsid w:val="00F22014"/>
    <w:rsid w:val="00F23B98"/>
    <w:rsid w:val="00F257F6"/>
    <w:rsid w:val="00F258D3"/>
    <w:rsid w:val="00F30B27"/>
    <w:rsid w:val="00F313DF"/>
    <w:rsid w:val="00F35D8B"/>
    <w:rsid w:val="00F36560"/>
    <w:rsid w:val="00F40497"/>
    <w:rsid w:val="00F46756"/>
    <w:rsid w:val="00F5497E"/>
    <w:rsid w:val="00F62381"/>
    <w:rsid w:val="00F64FA9"/>
    <w:rsid w:val="00F656EA"/>
    <w:rsid w:val="00F66AE0"/>
    <w:rsid w:val="00F705EC"/>
    <w:rsid w:val="00F72F74"/>
    <w:rsid w:val="00F736F8"/>
    <w:rsid w:val="00F74279"/>
    <w:rsid w:val="00F80CB0"/>
    <w:rsid w:val="00F81C2D"/>
    <w:rsid w:val="00F9429C"/>
    <w:rsid w:val="00F95168"/>
    <w:rsid w:val="00FA11A5"/>
    <w:rsid w:val="00FA1790"/>
    <w:rsid w:val="00FA655F"/>
    <w:rsid w:val="00FA67A9"/>
    <w:rsid w:val="00FB2C21"/>
    <w:rsid w:val="00FB559C"/>
    <w:rsid w:val="00FC0FE8"/>
    <w:rsid w:val="00FC4471"/>
    <w:rsid w:val="00FC4F6F"/>
    <w:rsid w:val="00FC6433"/>
    <w:rsid w:val="00FD2DE0"/>
    <w:rsid w:val="00FD3826"/>
    <w:rsid w:val="00FD3E69"/>
    <w:rsid w:val="00FD5B66"/>
    <w:rsid w:val="00FD5CF2"/>
    <w:rsid w:val="00FE1187"/>
    <w:rsid w:val="00FE487B"/>
    <w:rsid w:val="00FF0188"/>
    <w:rsid w:val="00FF27C7"/>
    <w:rsid w:val="00FF3900"/>
    <w:rsid w:val="00FF4EA9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1B9"/>
  <w15:docId w15:val="{9669BD68-05FB-4AB2-8032-D402CBE4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B66"/>
  </w:style>
  <w:style w:type="paragraph" w:styleId="Nagwek1">
    <w:name w:val="heading 1"/>
    <w:basedOn w:val="Normalny"/>
    <w:next w:val="Normalny"/>
    <w:link w:val="Nagwek1Znak"/>
    <w:uiPriority w:val="9"/>
    <w:qFormat/>
    <w:rsid w:val="00EA73B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3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A73BF"/>
    <w:pPr>
      <w:ind w:left="720"/>
      <w:contextualSpacing/>
    </w:pPr>
  </w:style>
  <w:style w:type="paragraph" w:customStyle="1" w:styleId="Default">
    <w:name w:val="Default"/>
    <w:rsid w:val="00EA73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3B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A73B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73BF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A73B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A73B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73BF"/>
    <w:rPr>
      <w:rFonts w:ascii="Arial" w:eastAsia="Times New Roman" w:hAnsi="Arial" w:cs="Times New Roman"/>
      <w:sz w:val="20"/>
      <w:szCs w:val="20"/>
    </w:rPr>
  </w:style>
  <w:style w:type="character" w:customStyle="1" w:styleId="FontStyle20">
    <w:name w:val="Font Style20"/>
    <w:rsid w:val="00EA73BF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rsid w:val="00EA73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punkt">
    <w:name w:val="PKT – punkt"/>
    <w:uiPriority w:val="13"/>
    <w:qFormat/>
    <w:rsid w:val="00EA73B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EA73B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A73BF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EA73BF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EA73BF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EA73BF"/>
    <w:rPr>
      <w:b w:val="0"/>
      <w:i w:val="0"/>
      <w:vanish w:val="0"/>
      <w:spacing w:val="0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EA73B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table" w:styleId="Tabela-Siatka">
    <w:name w:val="Table Grid"/>
    <w:basedOn w:val="Standardowy"/>
    <w:rsid w:val="00EA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EA73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3BF"/>
    <w:rPr>
      <w:rFonts w:ascii="Consolas" w:hAnsi="Consolas" w:cs="Consolas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EA73B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3B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A73BF"/>
    <w:pPr>
      <w:ind w:left="1020"/>
    </w:pPr>
    <w:rPr>
      <w:rFonts w:eastAsiaTheme="minorEastAsi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A73BF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styleId="Nagwek">
    <w:name w:val="header"/>
    <w:basedOn w:val="Normalny"/>
    <w:link w:val="NagwekZnak"/>
    <w:unhideWhenUsed/>
    <w:rsid w:val="00EA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73BF"/>
  </w:style>
  <w:style w:type="paragraph" w:styleId="Stopka">
    <w:name w:val="footer"/>
    <w:basedOn w:val="Normalny"/>
    <w:link w:val="StopkaZnak"/>
    <w:uiPriority w:val="99"/>
    <w:unhideWhenUsed/>
    <w:rsid w:val="00EA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3BF"/>
  </w:style>
  <w:style w:type="character" w:customStyle="1" w:styleId="file-element">
    <w:name w:val="file-element"/>
    <w:basedOn w:val="Domylnaczcionkaakapitu"/>
    <w:rsid w:val="00EA73BF"/>
  </w:style>
  <w:style w:type="character" w:styleId="Hipercze">
    <w:name w:val="Hyperlink"/>
    <w:basedOn w:val="Domylnaczcionkaakapitu"/>
    <w:uiPriority w:val="99"/>
    <w:unhideWhenUsed/>
    <w:rsid w:val="00EA73BF"/>
    <w:rPr>
      <w:color w:val="0000FF"/>
      <w:u w:val="single"/>
    </w:rPr>
  </w:style>
  <w:style w:type="character" w:customStyle="1" w:styleId="hide">
    <w:name w:val="hide"/>
    <w:basedOn w:val="Domylnaczcionkaakapitu"/>
    <w:rsid w:val="00EA73BF"/>
  </w:style>
  <w:style w:type="paragraph" w:customStyle="1" w:styleId="CM1">
    <w:name w:val="CM1"/>
    <w:basedOn w:val="Default"/>
    <w:next w:val="Default"/>
    <w:uiPriority w:val="99"/>
    <w:rsid w:val="00EA73BF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A73BF"/>
    <w:rPr>
      <w:rFonts w:ascii="EUAlbertina" w:eastAsiaTheme="minorHAnsi" w:hAnsi="EUAlbertina" w:cstheme="minorBidi"/>
      <w:color w:val="auto"/>
    </w:rPr>
  </w:style>
  <w:style w:type="paragraph" w:customStyle="1" w:styleId="celp">
    <w:name w:val="cel_p"/>
    <w:basedOn w:val="Normalny"/>
    <w:rsid w:val="00EA73BF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1">
    <w:name w:val="h11"/>
    <w:basedOn w:val="Domylnaczcionkaakapitu"/>
    <w:rsid w:val="00EA73BF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3B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3BF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B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BF"/>
    <w:rPr>
      <w:b/>
      <w:bCs/>
    </w:rPr>
  </w:style>
  <w:style w:type="paragraph" w:customStyle="1" w:styleId="Rozporzdzenieumowa">
    <w:name w:val="Rozporządzenie_umowa"/>
    <w:link w:val="RozporzdzenieumowaZnak"/>
    <w:autoRedefine/>
    <w:rsid w:val="00EA73BF"/>
    <w:pPr>
      <w:numPr>
        <w:ilvl w:val="1"/>
        <w:numId w:val="8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zporzdzenieumowaZnak">
    <w:name w:val="Rozporządzenie_umowa Znak"/>
    <w:basedOn w:val="Domylnaczcionkaakapitu"/>
    <w:link w:val="Rozporzdzenieumowa"/>
    <w:rsid w:val="00EA73BF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64E50"/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5D05EA"/>
    <w:pPr>
      <w:spacing w:before="120" w:after="0" w:line="240" w:lineRule="auto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5D05EA"/>
    <w:pPr>
      <w:tabs>
        <w:tab w:val="left" w:pos="540"/>
        <w:tab w:val="right" w:leader="dot" w:pos="9062"/>
      </w:tabs>
      <w:spacing w:before="120" w:after="0" w:line="240" w:lineRule="auto"/>
      <w:ind w:left="240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177CA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40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1152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8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8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8B6"/>
    <w:rPr>
      <w:vertAlign w:val="superscript"/>
    </w:rPr>
  </w:style>
  <w:style w:type="paragraph" w:styleId="Poprawka">
    <w:name w:val="Revision"/>
    <w:hidden/>
    <w:uiPriority w:val="99"/>
    <w:semiHidden/>
    <w:rsid w:val="00B35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73D3D-F638-4248-BAFA-C6F42E32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12538</Words>
  <Characters>75232</Characters>
  <Application>Microsoft Office Word</Application>
  <DocSecurity>0</DocSecurity>
  <Lines>626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atomczak</dc:creator>
  <cp:lastModifiedBy>Kamiński Igor</cp:lastModifiedBy>
  <cp:revision>2</cp:revision>
  <cp:lastPrinted>2019-06-07T09:43:00Z</cp:lastPrinted>
  <dcterms:created xsi:type="dcterms:W3CDTF">2020-02-18T15:34:00Z</dcterms:created>
  <dcterms:modified xsi:type="dcterms:W3CDTF">2020-02-18T15:34:00Z</dcterms:modified>
</cp:coreProperties>
</file>